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2600325" cy="1006316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975" y="0"/>
                          <a:ext cx="2600325" cy="10063163"/>
                          <a:chOff x="4042975" y="0"/>
                          <a:chExt cx="2606050" cy="7560000"/>
                        </a:xfrm>
                      </wpg:grpSpPr>
                      <wpg:grpSp>
                        <wpg:cNvGrpSpPr/>
                        <wpg:grpSpPr>
                          <a:xfrm>
                            <a:off x="4047743" y="0"/>
                            <a:ext cx="2596515" cy="7560000"/>
                            <a:chOff x="-600892" y="-15243"/>
                            <a:chExt cx="2596515" cy="1006021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600892" y="-15243"/>
                              <a:ext cx="2596500" cy="10060200"/>
                            </a:xfrm>
                            <a:prstGeom prst="rect">
                              <a:avLst/>
                            </a:prstGeom>
                            <a:solidFill>
                              <a:srgbClr val="B6D7A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600892" y="-15243"/>
                              <a:ext cx="2596515" cy="10060219"/>
                            </a:xfrm>
                            <a:prstGeom prst="rect">
                              <a:avLst/>
                            </a:prstGeom>
                            <a:solidFill>
                              <a:srgbClr val="B6D7A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descr="Header accent box" id="5" name="Shape 5"/>
                          <wps:spPr>
                            <a:xfrm>
                              <a:off x="0" y="-15243"/>
                              <a:ext cx="998474" cy="1306522"/>
                            </a:xfrm>
                            <a:custGeom>
                              <a:rect b="b" l="l" r="r" t="t"/>
                              <a:pathLst>
                                <a:path extrusionOk="0" h="2757" w="1506">
                                  <a:moveTo>
                                    <a:pt x="0" y="2757"/>
                                  </a:moveTo>
                                  <a:lnTo>
                                    <a:pt x="1505" y="2757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7A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6" name="Shape 6"/>
                        <wps:spPr>
                          <a:xfrm>
                            <a:off x="4047750" y="6043600"/>
                            <a:ext cx="1186200" cy="1516500"/>
                          </a:xfrm>
                          <a:prstGeom prst="rtTriangle">
                            <a:avLst/>
                          </a:prstGeom>
                          <a:solidFill>
                            <a:srgbClr val="D9EAD3"/>
                          </a:solidFill>
                          <a:ln cap="flat" cmpd="sng" w="9525">
                            <a:solidFill>
                              <a:srgbClr val="D0E0E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10800000">
                            <a:off x="5458050" y="0"/>
                            <a:ext cx="1186200" cy="1516500"/>
                          </a:xfrm>
                          <a:prstGeom prst="rtTriangle">
                            <a:avLst/>
                          </a:prstGeom>
                          <a:solidFill>
                            <a:srgbClr val="D9EAD3"/>
                          </a:solidFill>
                          <a:ln cap="flat" cmpd="sng" w="9525">
                            <a:solidFill>
                              <a:srgbClr val="D0E0E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2600325" cy="100631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10063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365.0" w:type="dxa"/>
        <w:jc w:val="center"/>
        <w:tblLayout w:type="fixed"/>
        <w:tblLook w:val="0600"/>
      </w:tblPr>
      <w:tblGrid>
        <w:gridCol w:w="2490"/>
        <w:gridCol w:w="870"/>
        <w:gridCol w:w="690"/>
        <w:gridCol w:w="810"/>
        <w:gridCol w:w="105"/>
        <w:gridCol w:w="105"/>
        <w:gridCol w:w="5295"/>
        <w:tblGridChange w:id="0">
          <w:tblGrid>
            <w:gridCol w:w="2490"/>
            <w:gridCol w:w="870"/>
            <w:gridCol w:w="690"/>
            <w:gridCol w:w="810"/>
            <w:gridCol w:w="105"/>
            <w:gridCol w:w="105"/>
            <w:gridCol w:w="5295"/>
          </w:tblGrid>
        </w:tblGridChange>
      </w:tblGrid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Ronald Harris</w:t>
            </w:r>
          </w:p>
        </w:tc>
      </w:tr>
      <w:tr>
        <w:trPr>
          <w:cantSplit w:val="0"/>
          <w:trHeight w:val="14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Adaptable Elementary School Educator with four years of experience pursuing a Third Grade Teacher position at Glencoe Elementary School. Committed to improving the student learning experience through leadership and excellent classroom management strategies. Hoping to instill a love of learning in all students.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City, State Abbreviation Zip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268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(123) 456-7890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268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email@example.com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268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LinkedIn | Portfolio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60" w:lineRule="auto"/>
              <w:rPr>
                <w:rFonts w:ascii="Georgia" w:cs="Georgia" w:eastAsia="Georgia" w:hAnsi="Georgia"/>
                <w:b w:val="1"/>
                <w:color w:val="ffffff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</w:rPr>
              <mc:AlternateContent>
                <mc:Choice Requires="wpg"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79656" y="3775428"/>
                                <a:ext cx="932688" cy="9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32688" cy="12700"/>
                      <wp:effectExtent b="0" l="0" r="0" t="0"/>
                      <wp:docPr descr="Decorative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268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60" w:lineRule="auto"/>
              <w:rPr>
                <w:rFonts w:ascii="Georgia" w:cs="Georgia" w:eastAsia="Georgia" w:hAnsi="Georg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60" w:lineRule="auto"/>
              <w:rPr>
                <w:rFonts w:ascii="Georgia" w:cs="Georgia" w:eastAsia="Georgia" w:hAnsi="Georgia"/>
                <w:b w:val="1"/>
                <w:color w:val="ffffff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rtl w:val="0"/>
              </w:rPr>
              <w:t xml:space="preserve">Key Skills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Adaptive Learning Technology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Curriculum Development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Integrated Lesson Planning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Learning Management Systems (LMS)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Student Data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2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pStyle w:val="Heading1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pStyle w:val="Heading1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September 2021 – Present</w:t>
            </w:r>
          </w:p>
          <w:p w:rsidR="00000000" w:rsidDel="00000000" w:rsidP="00000000" w:rsidRDefault="00000000" w:rsidRPr="00000000" w14:paraId="0000003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Second Grade Teacher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Ainsworth Elementary School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Portland,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Increase student participation and engagement through interactive teaching strategies and new classroom technology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Analyze student assessment results and deliver targeted instruction to increase standardized test scores by 10% over the course of a school year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Led a class of up to 25 students in second grade, maintaining good relationships with both parents and their students through regular communication and conferences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Collaborate with school librarian to launch special grade-specific reading programs, increasing library use by 30%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Gill Sans" w:cs="Gill Sans" w:eastAsia="Gill Sans" w:hAnsi="Gill San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September 2019 – June 2021</w:t>
            </w:r>
          </w:p>
          <w:p w:rsidR="00000000" w:rsidDel="00000000" w:rsidP="00000000" w:rsidRDefault="00000000" w:rsidRPr="00000000" w14:paraId="0000004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Substitute Teacher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Beaverton School District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Portland,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Delivered lesson plans to students and graded assignments done in class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Filled in for 200+ classroom teachers across the district in person and virtually during the COVID-19 pandemic</w:t>
            </w:r>
          </w:p>
          <w:p w:rsidR="00000000" w:rsidDel="00000000" w:rsidP="00000000" w:rsidRDefault="00000000" w:rsidRPr="00000000" w14:paraId="0000004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September 2017 – June 2019</w:t>
            </w:r>
          </w:p>
          <w:p w:rsidR="00000000" w:rsidDel="00000000" w:rsidP="00000000" w:rsidRDefault="00000000" w:rsidRPr="00000000" w14:paraId="00000046">
            <w:pPr>
              <w:pStyle w:val="Heading3"/>
              <w:rPr/>
            </w:pPr>
            <w:bookmarkStart w:colFirst="0" w:colLast="0" w:name="_ei9zk6wsntam" w:id="0"/>
            <w:bookmarkEnd w:id="0"/>
            <w:r w:rsidDel="00000000" w:rsidR="00000000" w:rsidRPr="00000000">
              <w:rPr>
                <w:rtl w:val="0"/>
              </w:rPr>
              <w:t xml:space="preserve">Summer School Teacher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Washington School District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Portland, OR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Designed summer learning activities for students to aid in knowledge retention, increasing back-to-school test scores by 15%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Collaborated with licensed educators across the district to update learning resources for all elementary subjects</w:t>
            </w:r>
          </w:p>
          <w:p w:rsidR="00000000" w:rsidDel="00000000" w:rsidP="00000000" w:rsidRDefault="00000000" w:rsidRPr="00000000" w14:paraId="0000004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50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  <w:t xml:space="preserve">Education &amp; Licensing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pStyle w:val="Heading1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pStyle w:val="Heading1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 2021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color w:val="d1414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TSPC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Oregon State Professional Teaching License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 2017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color w:val="d1414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TSPC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Oregon State Professional Teaching License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September 2013 – June 2017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color w:val="d1414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Bachelor of Science (B.S.) Elementary Education </w:t>
            </w:r>
            <w:r w:rsidDel="00000000" w:rsidR="00000000" w:rsidRPr="00000000">
              <w:rPr>
                <w:color w:val="38761d"/>
                <w:rtl w:val="0"/>
              </w:rPr>
              <w:t xml:space="preserve">| </w:t>
            </w:r>
            <w:r w:rsidDel="00000000" w:rsidR="00000000" w:rsidRPr="00000000">
              <w:rPr>
                <w:rtl w:val="0"/>
              </w:rPr>
              <w:t xml:space="preserve">GEORGE FOX UNIVERSITY </w:t>
            </w:r>
            <w:r w:rsidDel="00000000" w:rsidR="00000000" w:rsidRPr="00000000">
              <w:rPr>
                <w:color w:val="38761d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  <w:t xml:space="preserve"> Portland, OR 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60" w:lineRule="auto"/>
    </w:pPr>
    <w:rPr>
      <w:rFonts w:ascii="Georgia" w:cs="Georgia" w:eastAsia="Georgia" w:hAnsi="Georgia"/>
      <w:b w:val="1"/>
    </w:rPr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120" w:lineRule="auto"/>
    </w:pPr>
    <w:rPr>
      <w:color w:val="000000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spacing w:before="120" w:lineRule="auto"/>
    </w:pPr>
    <w:rPr>
      <w:b w:val="1"/>
      <w:smallCaps w:val="1"/>
      <w:color w:val="4bacc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Georgia" w:cs="Georgia" w:eastAsia="Georgia" w:hAnsi="Georgia"/>
      <w:color w:val="6d1a1a"/>
    </w:rPr>
  </w:style>
  <w:style w:type="paragraph" w:styleId="Title">
    <w:name w:val="Title"/>
    <w:basedOn w:val="Normal"/>
    <w:next w:val="Normal"/>
    <w:pPr>
      <w:widowControl w:val="0"/>
      <w:spacing w:after="120" w:before="120" w:lineRule="auto"/>
      <w:ind w:left="288"/>
    </w:pPr>
    <w:rPr>
      <w:rFonts w:ascii="Georgia" w:cs="Georgia" w:eastAsia="Georgia" w:hAnsi="Georgia"/>
      <w:b w:val="1"/>
      <w:color w:val="d14140"/>
      <w:sz w:val="48"/>
      <w:szCs w:val="48"/>
    </w:rPr>
  </w:style>
  <w:style w:type="paragraph" w:styleId="Subtitle">
    <w:name w:val="Subtitle"/>
    <w:basedOn w:val="Normal"/>
    <w:next w:val="Normal"/>
    <w:pPr>
      <w:spacing w:before="120" w:lineRule="auto"/>
    </w:pPr>
    <w:rPr>
      <w:rFonts w:ascii="Georgia" w:cs="Georgia" w:eastAsia="Georgia" w:hAnsi="Georgia"/>
      <w:b w:val="1"/>
      <w:color w:val="000000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