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7"/>
        </w:rPr>
        <w:t>JORDAN</w:t>
      </w:r>
      <w:r>
        <w:rPr>
          <w:color w:val="FFFFFF"/>
          <w:spacing w:val="-38"/>
        </w:rPr>
        <w:t> </w:t>
      </w:r>
      <w:r>
        <w:rPr>
          <w:color w:val="FFFFFF"/>
          <w:spacing w:val="-2"/>
        </w:rPr>
        <w:t>HARRIS</w:t>
      </w:r>
    </w:p>
    <w:p>
      <w:pPr>
        <w:spacing w:before="19"/>
        <w:ind w:left="4960" w:right="0" w:firstLine="0"/>
        <w:jc w:val="center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Senior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Project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Manager</w:t>
      </w:r>
    </w:p>
    <w:p>
      <w:pPr>
        <w:spacing w:before="125"/>
        <w:ind w:left="496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ST,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ZIP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2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16"/>
        <w:rPr>
          <w:b/>
          <w:sz w:val="13"/>
        </w:rPr>
      </w:pPr>
    </w:p>
    <w:p>
      <w:pPr>
        <w:pStyle w:val="Heading1"/>
        <w:spacing w:before="1"/>
        <w:ind w:left="4761"/>
      </w:pPr>
      <w:r>
        <w:rPr>
          <w:smallCaps/>
          <w:color w:val="49861B"/>
          <w:spacing w:val="-2"/>
        </w:rPr>
        <w:t>Professional</w:t>
      </w:r>
      <w:r>
        <w:rPr>
          <w:smallCaps/>
          <w:color w:val="49861B"/>
          <w:spacing w:val="3"/>
        </w:rPr>
        <w:t> </w:t>
      </w:r>
      <w:r>
        <w:rPr>
          <w:smallCaps/>
          <w:color w:val="49861B"/>
          <w:spacing w:val="-2"/>
        </w:rPr>
        <w:t>Experience</w:t>
      </w:r>
    </w:p>
    <w:p>
      <w:pPr>
        <w:pStyle w:val="BodyText"/>
        <w:spacing w:before="152"/>
        <w:ind w:left="4761"/>
      </w:pPr>
      <w:r>
        <w:rPr>
          <w:w w:val="105"/>
        </w:rPr>
        <w:t>Senior</w:t>
      </w:r>
      <w:r>
        <w:rPr>
          <w:spacing w:val="-9"/>
          <w:w w:val="105"/>
        </w:rPr>
        <w:t> </w:t>
      </w:r>
      <w:r>
        <w:rPr>
          <w:w w:val="105"/>
        </w:rPr>
        <w:t>IT</w:t>
      </w:r>
      <w:r>
        <w:rPr>
          <w:spacing w:val="-10"/>
          <w:w w:val="105"/>
        </w:rPr>
        <w:t> </w:t>
      </w:r>
      <w:r>
        <w:rPr>
          <w:w w:val="105"/>
        </w:rPr>
        <w:t>Project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spacing w:val="-2"/>
          <w:w w:val="105"/>
        </w:rPr>
        <w:t>TechWave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60" w:bottom="280" w:left="0" w:right="40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7" w:lineRule="auto" w:before="0"/>
        <w:ind w:left="595" w:right="28" w:firstLine="0"/>
        <w:jc w:val="left"/>
        <w:rPr>
          <w:sz w:val="18"/>
        </w:rPr>
      </w:pPr>
      <w:r>
        <w:rPr>
          <w:w w:val="105"/>
          <w:sz w:val="18"/>
        </w:rPr>
        <w:t>IT project manager with over a decade of experience upgrading infrastructure and implementing software. Proven ability to drive IT innovation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operational </w:t>
      </w:r>
      <w:r>
        <w:rPr>
          <w:spacing w:val="-2"/>
          <w:w w:val="105"/>
          <w:sz w:val="18"/>
        </w:rPr>
        <w:t>excellence.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7"/>
        <w:rPr>
          <w:sz w:val="18"/>
        </w:rPr>
      </w:pPr>
    </w:p>
    <w:p>
      <w:pPr>
        <w:spacing w:line="331" w:lineRule="auto" w:before="1"/>
        <w:ind w:left="985" w:right="1020" w:firstLine="0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methodologies Cloud computing</w:t>
      </w:r>
    </w:p>
    <w:p>
      <w:pPr>
        <w:spacing w:line="348" w:lineRule="auto" w:before="13"/>
        <w:ind w:left="985" w:right="1138" w:firstLine="0"/>
        <w:jc w:val="left"/>
        <w:rPr>
          <w:sz w:val="18"/>
        </w:rPr>
      </w:pPr>
      <w:r>
        <w:rPr>
          <w:sz w:val="18"/>
        </w:rPr>
        <w:t>IT infrastructure Risk management</w:t>
      </w:r>
    </w:p>
    <w:p>
      <w:pPr>
        <w:pStyle w:val="BodyText"/>
        <w:spacing w:line="273" w:lineRule="auto" w:before="79"/>
        <w:ind w:left="1189"/>
      </w:pPr>
      <w:r>
        <w:rPr/>
        <w:br w:type="column"/>
      </w:r>
      <w:r>
        <w:rPr>
          <w:w w:val="105"/>
        </w:rPr>
        <w:t>Directed 10+ cloud migration projects, reducing operational costs by $1.2 million </w:t>
      </w:r>
      <w:r>
        <w:rPr>
          <w:spacing w:val="-2"/>
          <w:w w:val="105"/>
        </w:rPr>
        <w:t>annually</w:t>
      </w:r>
    </w:p>
    <w:p>
      <w:pPr>
        <w:pStyle w:val="BodyText"/>
        <w:spacing w:line="391" w:lineRule="auto" w:before="75"/>
        <w:ind w:left="1189" w:right="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-75804</wp:posOffset>
                </wp:positionV>
                <wp:extent cx="277177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986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49861B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.968836pt;width:218.25pt;height:20.25pt;mso-position-horizontal-relative:page;mso-position-vertical-relative:paragraph;z-index:15729664" type="#_x0000_t202" id="docshape1" filled="true" fillcolor="#49861b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49861B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Implemented a DevOps strategy that increased development efﬁciency by 30% Led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$3</w:t>
      </w:r>
      <w:r>
        <w:rPr>
          <w:spacing w:val="-3"/>
          <w:w w:val="105"/>
        </w:rPr>
        <w:t> </w:t>
      </w:r>
      <w:r>
        <w:rPr>
          <w:w w:val="105"/>
        </w:rPr>
        <w:t>million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center</w:t>
      </w:r>
      <w:r>
        <w:rPr>
          <w:spacing w:val="-2"/>
          <w:w w:val="105"/>
        </w:rPr>
        <w:t> </w:t>
      </w:r>
      <w:r>
        <w:rPr>
          <w:w w:val="105"/>
        </w:rPr>
        <w:t>modernization,</w:t>
      </w:r>
      <w:r>
        <w:rPr>
          <w:spacing w:val="-2"/>
          <w:w w:val="105"/>
        </w:rPr>
        <w:t> </w:t>
      </w:r>
      <w:r>
        <w:rPr>
          <w:w w:val="105"/>
        </w:rPr>
        <w:t>achieving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99.9%</w:t>
      </w:r>
      <w:r>
        <w:rPr>
          <w:spacing w:val="-3"/>
          <w:w w:val="105"/>
        </w:rPr>
        <w:t> </w:t>
      </w:r>
      <w:r>
        <w:rPr>
          <w:w w:val="105"/>
        </w:rPr>
        <w:t>uptime</w:t>
      </w:r>
      <w:r>
        <w:rPr>
          <w:spacing w:val="-2"/>
          <w:w w:val="105"/>
        </w:rPr>
        <w:t> reliability</w:t>
      </w:r>
    </w:p>
    <w:p>
      <w:pPr>
        <w:pStyle w:val="BodyText"/>
        <w:spacing w:before="90"/>
        <w:ind w:left="595"/>
      </w:pPr>
      <w:r>
        <w:rPr>
          <w:w w:val="105"/>
        </w:rPr>
        <w:t>IT</w:t>
      </w:r>
      <w:r>
        <w:rPr>
          <w:spacing w:val="-10"/>
          <w:w w:val="105"/>
        </w:rPr>
        <w:t> </w:t>
      </w:r>
      <w:r>
        <w:rPr>
          <w:w w:val="105"/>
        </w:rPr>
        <w:t>Project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71"/>
        <w:ind w:left="595"/>
      </w:pPr>
      <w:r>
        <w:rPr>
          <w:w w:val="105"/>
        </w:rPr>
        <w:t>NetWorld</w:t>
      </w:r>
      <w:r>
        <w:rPr>
          <w:spacing w:val="-9"/>
          <w:w w:val="105"/>
        </w:rPr>
        <w:t> </w:t>
      </w:r>
      <w:r>
        <w:rPr>
          <w:w w:val="105"/>
        </w:rPr>
        <w:t>Services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Providence,</w:t>
      </w:r>
      <w:r>
        <w:rPr>
          <w:spacing w:val="-8"/>
          <w:w w:val="105"/>
        </w:rPr>
        <w:t> </w:t>
      </w:r>
      <w:r>
        <w:rPr>
          <w:w w:val="105"/>
        </w:rPr>
        <w:t>RI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w w:val="105"/>
        </w:rPr>
        <w:t>2010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2"/>
      </w:pPr>
    </w:p>
    <w:p>
      <w:pPr>
        <w:pStyle w:val="BodyText"/>
        <w:spacing w:line="273" w:lineRule="auto" w:before="1"/>
        <w:ind w:left="1189" w:right="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276784</wp:posOffset>
                </wp:positionV>
                <wp:extent cx="27717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4986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49861B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49861B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49861B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794046pt;width:218.25pt;height:21pt;mso-position-horizontal-relative:page;mso-position-vertical-relative:paragraph;z-index:15729152" type="#_x0000_t202" id="docshape2" filled="true" fillcolor="#49861b" stroked="false">
                <v:textbox inset="0,0,0,0">
                  <w:txbxContent>
                    <w:p>
                      <w:pPr>
                        <w:spacing w:before="9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49861B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49861B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49861B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Supported execution of enterprise IT projects, including software rollouts across 50+ locations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Improved task tracking and reporting processes, saving 15% in administrative </w:t>
      </w:r>
      <w:r>
        <w:rPr>
          <w:spacing w:val="-2"/>
          <w:w w:val="105"/>
        </w:rPr>
        <w:t>overhead</w:t>
      </w:r>
    </w:p>
    <w:p>
      <w:pPr>
        <w:pStyle w:val="BodyText"/>
        <w:spacing w:before="76"/>
        <w:ind w:left="1189"/>
      </w:pPr>
      <w:r>
        <w:rPr>
          <w:w w:val="105"/>
        </w:rPr>
        <w:t>Introduced</w:t>
      </w:r>
      <w:r>
        <w:rPr>
          <w:spacing w:val="-2"/>
          <w:w w:val="105"/>
        </w:rPr>
        <w:t> </w:t>
      </w:r>
      <w:r>
        <w:rPr>
          <w:w w:val="105"/>
        </w:rPr>
        <w:t>collaboration</w:t>
      </w:r>
      <w:r>
        <w:rPr>
          <w:spacing w:val="-2"/>
          <w:w w:val="105"/>
        </w:rPr>
        <w:t> </w:t>
      </w:r>
      <w:r>
        <w:rPr>
          <w:w w:val="105"/>
        </w:rPr>
        <w:t>tools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enhanced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productivity</w:t>
      </w:r>
    </w:p>
    <w:p>
      <w:pPr>
        <w:pStyle w:val="BodyText"/>
        <w:spacing w:before="74"/>
      </w:pPr>
    </w:p>
    <w:p>
      <w:pPr>
        <w:pStyle w:val="Heading1"/>
      </w:pPr>
      <w:r>
        <w:rPr>
          <w:smallCaps/>
          <w:color w:val="49861B"/>
          <w:spacing w:val="-2"/>
          <w:w w:val="105"/>
        </w:rPr>
        <w:t>Education</w:t>
      </w:r>
    </w:p>
    <w:p>
      <w:pPr>
        <w:pStyle w:val="BodyText"/>
        <w:spacing w:before="153"/>
        <w:ind w:left="595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Information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71"/>
        <w:ind w:left="595"/>
      </w:pPr>
      <w:r>
        <w:rPr>
          <w:w w:val="105"/>
        </w:rPr>
        <w:t>Northeastern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Boston,</w:t>
      </w:r>
      <w:r>
        <w:rPr>
          <w:spacing w:val="-10"/>
          <w:w w:val="105"/>
        </w:rPr>
        <w:t> </w:t>
      </w:r>
      <w:r>
        <w:rPr>
          <w:w w:val="105"/>
        </w:rPr>
        <w:t>MA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2021,</w:t>
      </w:r>
    </w:p>
    <w:p>
      <w:pPr>
        <w:pStyle w:val="BodyText"/>
        <w:spacing w:before="59"/>
      </w:pPr>
    </w:p>
    <w:p>
      <w:pPr>
        <w:pStyle w:val="Heading1"/>
      </w:pPr>
      <w:r>
        <w:rPr>
          <w:smallCaps/>
          <w:color w:val="49861B"/>
          <w:spacing w:val="-2"/>
          <w:w w:val="105"/>
        </w:rPr>
        <w:t>Certifications</w:t>
      </w:r>
    </w:p>
    <w:p>
      <w:pPr>
        <w:spacing w:after="0"/>
        <w:sectPr>
          <w:type w:val="continuous"/>
          <w:pgSz w:w="11920" w:h="16860"/>
          <w:pgMar w:top="1160" w:bottom="280" w:left="0" w:right="400"/>
          <w:cols w:num="2" w:equalWidth="0">
            <w:col w:w="3714" w:space="452"/>
            <w:col w:w="7354"/>
          </w:cols>
        </w:sectPr>
      </w:pPr>
    </w:p>
    <w:p>
      <w:pPr>
        <w:pStyle w:val="BodyText"/>
        <w:spacing w:before="153"/>
        <w:ind w:left="50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276975">
                                <a:moveTo>
                                  <a:pt x="2771774" y="6276974"/>
                                </a:moveTo>
                                <a:lnTo>
                                  <a:pt x="0" y="62769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27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86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771774"/>
                            <a:ext cx="2819400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03847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3038475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2819400" h="30384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2819400" h="303847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819400" h="3038475">
                                <a:moveTo>
                                  <a:pt x="2628900" y="3011322"/>
                                </a:moveTo>
                                <a:lnTo>
                                  <a:pt x="2608440" y="2990850"/>
                                </a:lnTo>
                                <a:lnTo>
                                  <a:pt x="2601747" y="2990850"/>
                                </a:lnTo>
                                <a:lnTo>
                                  <a:pt x="2581275" y="3011322"/>
                                </a:lnTo>
                                <a:lnTo>
                                  <a:pt x="2581275" y="3014891"/>
                                </a:lnTo>
                                <a:lnTo>
                                  <a:pt x="2581275" y="3018015"/>
                                </a:lnTo>
                                <a:lnTo>
                                  <a:pt x="2601747" y="3038475"/>
                                </a:lnTo>
                                <a:lnTo>
                                  <a:pt x="2608440" y="3038475"/>
                                </a:lnTo>
                                <a:lnTo>
                                  <a:pt x="2628900" y="3018015"/>
                                </a:lnTo>
                                <a:lnTo>
                                  <a:pt x="2628900" y="3011322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1182522"/>
                                </a:moveTo>
                                <a:lnTo>
                                  <a:pt x="2798940" y="1162050"/>
                                </a:lnTo>
                                <a:lnTo>
                                  <a:pt x="2792247" y="1162050"/>
                                </a:lnTo>
                                <a:lnTo>
                                  <a:pt x="2771775" y="1182522"/>
                                </a:lnTo>
                                <a:lnTo>
                                  <a:pt x="2771775" y="1186091"/>
                                </a:lnTo>
                                <a:lnTo>
                                  <a:pt x="2771775" y="118921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98940" y="1209675"/>
                                </a:lnTo>
                                <a:lnTo>
                                  <a:pt x="2819400" y="1189215"/>
                                </a:lnTo>
                                <a:lnTo>
                                  <a:pt x="2819400" y="1182522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0384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9885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030" id="docshape8" filled="true" fillcolor="#49861b" stroked="false">
                  <v:fill type="solid"/>
                </v:rect>
                <v:shape style="position:absolute;left:689;top:4365;width:4440;height:4785" id="docshape9" coordorigin="690,4365" coordsize="4440,4785" path="m765,8102l764,8097,760,8088,758,8084,751,8077,747,8075,738,8071,733,8070,722,8070,717,8071,708,8075,704,8077,697,8084,695,8088,691,8097,690,8102,690,8108,690,8113,691,8118,695,8127,697,8131,704,8138,708,8140,717,8144,722,8145,733,8145,738,8144,747,8140,751,8138,758,8131,760,8127,764,8118,765,8113,765,810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765,7502l764,7497,760,7488,758,7484,751,7477,747,7475,738,7471,733,7470,722,7470,717,7471,708,7475,704,7477,697,7484,695,7488,691,7497,690,7502,690,7508,690,7513,691,7518,695,7527,697,7531,704,7538,708,7540,717,7544,722,7545,733,7545,738,7544,747,7540,751,7538,758,7531,760,7527,764,7518,765,7513,765,7502xm765,7217l764,7212,760,7203,758,7199,751,7192,747,7190,738,7186,733,7185,722,7185,717,7186,708,7190,704,7192,697,7199,695,7203,691,7212,690,7217,690,7223,690,7228,691,7233,695,7242,697,7246,704,7253,708,7255,717,7259,722,7260,733,7260,738,7259,747,7255,751,7253,758,7246,760,7242,764,7233,765,7228,765,7217xm4830,9107l4829,9102,4825,9093,4823,9089,4816,9082,4812,9080,4803,9076,4798,9075,4787,9075,4782,9076,4773,9080,4769,9082,4762,9089,4760,9093,4756,9102,4755,9107,4755,9113,4755,9118,4756,9123,4760,9132,4762,9136,4769,9143,4773,9145,4782,9149,4787,9150,4798,9150,4803,9149,4812,9145,4816,9143,4823,9136,4825,9132,4829,9123,4830,9118,4830,9107xm5130,7217l5129,7212,5125,7203,5123,7199,5116,7192,5112,7190,5103,7186,5098,7185,5087,7185,5082,7186,5073,7190,5069,7192,5062,7199,5060,7203,5056,7212,5055,7217,5055,7223,5055,7228,5056,7233,5060,7242,5062,7246,5069,7253,5073,7255,5082,7259,5087,7260,5098,7260,5103,7259,5112,7255,5116,7253,5123,7246,5125,7242,5129,7233,5130,7228,5130,7217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5192l5129,5187,5125,5178,5123,5174,5116,5167,5112,5165,5103,5161,5098,5160,5087,5160,5082,5161,5073,5165,5069,5167,5062,5174,5060,5178,5056,5187,5055,5192,5055,5198,5055,5203,5056,5208,5060,5217,5062,5221,5069,5228,5073,5230,5082,5234,5087,5235,5098,5235,5103,5234,5112,5230,5116,5228,5123,5221,5125,5217,5129,5208,5130,5203,5130,5192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Information</w:t>
      </w:r>
      <w:r>
        <w:rPr>
          <w:spacing w:val="-11"/>
          <w:w w:val="105"/>
        </w:rPr>
        <w:t> </w:t>
      </w:r>
      <w:r>
        <w:rPr>
          <w:w w:val="105"/>
        </w:rPr>
        <w:t>Systems</w:t>
      </w:r>
      <w:r>
        <w:rPr>
          <w:spacing w:val="-11"/>
          <w:w w:val="105"/>
        </w:rPr>
        <w:t> </w:t>
      </w:r>
      <w:r>
        <w:rPr>
          <w:w w:val="105"/>
        </w:rPr>
        <w:t>Auditor</w:t>
      </w:r>
      <w:r>
        <w:rPr>
          <w:spacing w:val="-11"/>
          <w:w w:val="105"/>
        </w:rPr>
        <w:t> </w:t>
      </w:r>
      <w:r>
        <w:rPr>
          <w:w w:val="105"/>
        </w:rPr>
        <w:t>(CISA)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ISACA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2022,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60" w:bottom="280" w:left="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4960"/>
      <w:jc w:val="center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2025-01-23T13:00:53Z</dcterms:created>
  <dcterms:modified xsi:type="dcterms:W3CDTF">2025-01-23T13:00:53Z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2025-01-23T00:00:00Z</vt:filetime>
  </property>
  <property fmtid="{D5CDD505-2E9C-101B-9397-08002B2CF9AE}" pid="5" name="Producer">
    <vt:lpwstr>Skia/PDF m121</vt:lpwstr>
  </property>
</Properties>
</file>