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46" w:right="14" w:firstLine="0"/>
        <w:jc w:val="center"/>
        <w:rPr>
          <w:b/>
          <w:sz w:val="82"/>
        </w:rPr>
      </w:pPr>
      <w:r>
        <w:rPr>
          <w:rFonts w:ascii="Microsoft Sans Serif"/>
          <w:color w:val="040404"/>
          <w:sz w:val="82"/>
        </w:rPr>
        <w:t>Taylor</w:t>
      </w:r>
      <w:r>
        <w:rPr>
          <w:rFonts w:ascii="Microsoft Sans Serif"/>
          <w:color w:val="040404"/>
          <w:spacing w:val="45"/>
          <w:sz w:val="82"/>
        </w:rPr>
        <w:t> </w:t>
      </w:r>
      <w:r>
        <w:rPr>
          <w:b/>
          <w:color w:val="040404"/>
          <w:spacing w:val="-2"/>
          <w:sz w:val="82"/>
        </w:rPr>
        <w:t>Smith</w:t>
      </w:r>
    </w:p>
    <w:p>
      <w:pPr>
        <w:spacing w:before="153"/>
        <w:ind w:left="4146" w:right="55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40404"/>
          <w:spacing w:val="-10"/>
          <w:sz w:val="28"/>
        </w:rPr>
        <w:t>B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U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S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I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N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E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S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S</w:t>
      </w:r>
      <w:r>
        <w:rPr>
          <w:rFonts w:ascii="Microsoft Sans Serif"/>
          <w:color w:val="040404"/>
          <w:spacing w:val="3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M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A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N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A</w:t>
      </w:r>
      <w:r>
        <w:rPr>
          <w:rFonts w:ascii="Microsoft Sans Serif"/>
          <w:color w:val="040404"/>
          <w:spacing w:val="-24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G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E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M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E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N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T</w:t>
      </w:r>
      <w:r>
        <w:rPr>
          <w:rFonts w:ascii="Microsoft Sans Serif"/>
          <w:color w:val="040404"/>
          <w:spacing w:val="53"/>
          <w:w w:val="150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C</w:t>
      </w:r>
      <w:r>
        <w:rPr>
          <w:rFonts w:ascii="Microsoft Sans Serif"/>
          <w:color w:val="040404"/>
          <w:spacing w:val="-25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O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N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S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U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LT</w:t>
      </w:r>
      <w:r>
        <w:rPr>
          <w:rFonts w:ascii="Microsoft Sans Serif"/>
          <w:color w:val="040404"/>
          <w:spacing w:val="-37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A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N</w:t>
      </w:r>
      <w:r>
        <w:rPr>
          <w:rFonts w:ascii="Microsoft Sans Serif"/>
          <w:color w:val="040404"/>
          <w:spacing w:val="-19"/>
          <w:sz w:val="28"/>
        </w:rPr>
        <w:t> </w:t>
      </w:r>
      <w:r>
        <w:rPr>
          <w:rFonts w:ascii="Microsoft Sans Serif"/>
          <w:color w:val="040404"/>
          <w:spacing w:val="-10"/>
          <w:sz w:val="28"/>
        </w:rPr>
        <w:t>T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146" w:right="0" w:firstLine="0"/>
        <w:jc w:val="center"/>
        <w:rPr>
          <w:sz w:val="18"/>
        </w:rPr>
      </w:pPr>
      <w:r>
        <w:rPr>
          <w:w w:val="105"/>
          <w:sz w:val="18"/>
        </w:rPr>
        <w:t>Business consultant with eight years of experience helping midsize companies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 revenue and streamline operations. Known for delivering measurable results through market analysis and tailored strategy plans.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spacing w:before="83"/>
        <w:rPr>
          <w:sz w:val="33"/>
        </w:rPr>
      </w:pPr>
    </w:p>
    <w:p>
      <w:pPr>
        <w:pStyle w:val="Heading1"/>
      </w:pPr>
      <w:r>
        <w:rPr>
          <w:color w:val="040404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40404"/>
          <w:spacing w:val="-8"/>
        </w:rPr>
        <w:t>PROFESSIONAL</w:t>
      </w:r>
      <w:r>
        <w:rPr>
          <w:color w:val="040404"/>
          <w:spacing w:val="-6"/>
        </w:rPr>
        <w:t> </w:t>
      </w:r>
      <w:r>
        <w:rPr>
          <w:color w:val="040404"/>
          <w:spacing w:val="-2"/>
        </w:rPr>
        <w:t>EXPERIENCE</w:t>
      </w:r>
    </w:p>
    <w:p>
      <w:pPr>
        <w:pStyle w:val="Heading2"/>
        <w:spacing w:line="261" w:lineRule="auto"/>
        <w:ind w:right="506"/>
      </w:pPr>
      <w:r>
        <w:rPr>
          <w:w w:val="105"/>
        </w:rPr>
        <w:t>Business</w:t>
      </w:r>
      <w:r>
        <w:rPr>
          <w:spacing w:val="-14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consultant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Horizon</w:t>
      </w:r>
      <w:r>
        <w:rPr>
          <w:spacing w:val="-13"/>
          <w:w w:val="105"/>
        </w:rPr>
        <w:t> </w:t>
      </w:r>
      <w:r>
        <w:rPr>
          <w:w w:val="105"/>
        </w:rPr>
        <w:t>Strategy</w:t>
      </w:r>
      <w:r>
        <w:rPr>
          <w:spacing w:val="-13"/>
          <w:w w:val="105"/>
        </w:rPr>
        <w:t> </w:t>
      </w:r>
      <w:r>
        <w:rPr>
          <w:w w:val="105"/>
        </w:rPr>
        <w:t>Group,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4"/>
          <w:w w:val="105"/>
        </w:rPr>
        <w:t> </w:t>
      </w:r>
      <w:r>
        <w:rPr>
          <w:w w:val="105"/>
        </w:rPr>
        <w:t>Francisco,</w:t>
      </w:r>
      <w:r>
        <w:rPr>
          <w:spacing w:val="-13"/>
          <w:w w:val="105"/>
        </w:rPr>
        <w:t> </w:t>
      </w:r>
      <w:r>
        <w:rPr>
          <w:w w:val="105"/>
        </w:rPr>
        <w:t>CA</w:t>
      </w:r>
      <w:r>
        <w:rPr>
          <w:spacing w:val="-13"/>
          <w:w w:val="105"/>
        </w:rPr>
        <w:t> </w:t>
      </w:r>
      <w:r>
        <w:rPr>
          <w:w w:val="105"/>
        </w:rPr>
        <w:t>| May 2018 – 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41" w:right="789"/>
      </w:pPr>
      <w:r>
        <w:rPr>
          <w:w w:val="105"/>
        </w:rPr>
        <w:t>Led strategic planning sessions with 30+ companies, driving an average 22% revenue increase</w:t>
      </w:r>
    </w:p>
    <w:p>
      <w:pPr>
        <w:pStyle w:val="BodyText"/>
        <w:spacing w:line="410" w:lineRule="auto" w:before="91"/>
        <w:ind w:left="641" w:right="601"/>
      </w:pPr>
      <w:r>
        <w:rPr>
          <w:w w:val="105"/>
        </w:rPr>
        <w:t>Designed growth frameworks that reduced overhead costs by up to 15% Provided competitor analysis for product launches in three industries</w:t>
      </w:r>
    </w:p>
    <w:p>
      <w:pPr>
        <w:spacing w:after="0" w:line="410" w:lineRule="auto"/>
        <w:sectPr>
          <w:type w:val="continuous"/>
          <w:pgSz w:w="11920" w:h="16860"/>
          <w:pgMar w:top="820" w:bottom="280" w:left="400" w:right="340"/>
          <w:cols w:num="2" w:equalWidth="0">
            <w:col w:w="2470" w:space="1455"/>
            <w:col w:w="7255"/>
          </w:cols>
        </w:sectPr>
      </w:pPr>
    </w:p>
    <w:p>
      <w:pPr>
        <w:pStyle w:val="BodyText"/>
        <w:spacing w:line="167" w:lineRule="exact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294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6294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457574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064" id="docshapegroup1" coordorigin="0,0" coordsize="11415,16860">
                <v:shape style="position:absolute;left:0;top:0;width:4095;height:16860" id="docshape2" coordorigin="0,0" coordsize="4095,16860" path="m4095,0l0,0,0,10440,0,16860,4095,16860,4095,10440,4095,0xe" filled="true" fillcolor="#59a599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645;width:7320;height:45" id="docshape9" filled="true" fillcolor="#59a599" stroked="false">
                  <v:fill type="solid"/>
                </v:rect>
                <v:shape style="position:absolute;left:4664;top:5445;width:75;height:2160" id="docshape10" coordorigin="4665,5445" coordsize="75,2160" path="m4740,7562l4739,7557,4735,7548,4733,7544,4726,7537,4722,7535,4713,7531,4708,7530,4697,7530,4692,7531,4683,7535,4679,7537,4672,7544,4670,7548,4666,7557,4665,7562,4665,7568,4665,7573,4666,7578,4670,7587,4672,7591,4679,7598,4683,7600,4692,7604,4697,7605,4708,7605,4713,7604,4722,7600,4726,7598,4733,7591,4735,7587,4739,7578,4740,7573,4740,7562xm4740,7262l4739,7257,4735,7248,4733,7244,4726,7237,4722,7235,4713,7231,4708,7230,4697,7230,4692,7231,4683,7235,4679,7237,4672,7244,4670,7248,4666,7257,4665,7262,4665,7268,4665,7273,4666,7278,4670,7287,4672,7291,4679,7298,4683,7300,4692,7304,4697,7305,4708,7305,4713,7304,4722,7300,4726,7298,4733,7291,4735,7287,4739,7278,4740,7273,4740,7262xm4740,6302l4739,6297,4735,6288,4733,6284,4726,6277,4722,6275,4713,6271,4708,6270,4697,6270,4692,6271,4683,6275,4679,6277,4672,6284,4670,6288,4666,6297,4665,6302,4665,6308,4665,6313,4666,6318,4670,6327,4672,6331,4679,6338,4683,6340,4692,6344,4697,6345,4708,6345,4713,6344,4722,6340,4726,6338,4733,6331,4735,6327,4739,6318,4740,6313,4740,6302xm4740,5987l4739,5982,4735,5973,4733,5969,4726,5962,4722,5960,4713,5956,4708,5955,4697,5955,4692,5956,4683,5960,4679,5962,4672,5969,4670,5973,4666,5982,4665,5987,4665,5993,4665,5998,4666,6003,4670,6012,4672,6016,4679,6023,4683,6025,4692,6029,4697,6030,4708,6030,4713,6029,4722,6025,4726,6023,4733,6016,4735,6012,4739,6003,4740,5998,4740,598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Francisco,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color w:val="040404"/>
          <w:spacing w:val="-8"/>
        </w:rPr>
        <w:t>KEY</w:t>
      </w:r>
      <w:r>
        <w:rPr>
          <w:color w:val="040404"/>
          <w:spacing w:val="-14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line="396" w:lineRule="auto" w:before="260"/>
        <w:ind w:left="678"/>
      </w:pPr>
      <w:r>
        <w:rPr>
          <w:spacing w:val="-2"/>
          <w:w w:val="105"/>
        </w:rPr>
        <w:t>Inﬂuencer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campaigns </w:t>
      </w:r>
      <w:r>
        <w:rPr>
          <w:w w:val="105"/>
        </w:rPr>
        <w:t>Brand alignment Partnership</w:t>
      </w:r>
      <w:r>
        <w:rPr>
          <w:spacing w:val="-6"/>
          <w:w w:val="105"/>
        </w:rPr>
        <w:t> </w:t>
      </w:r>
      <w:r>
        <w:rPr>
          <w:w w:val="105"/>
        </w:rPr>
        <w:t>outreach Performance metrics Content negotiation</w:t>
      </w:r>
    </w:p>
    <w:p>
      <w:pPr>
        <w:pStyle w:val="Heading2"/>
        <w:spacing w:before="9"/>
      </w:pPr>
      <w:r>
        <w:rPr/>
        <w:br w:type="column"/>
      </w:r>
      <w:r>
        <w:rPr>
          <w:w w:val="105"/>
        </w:rPr>
        <w:t>Business</w:t>
      </w:r>
      <w:r>
        <w:rPr>
          <w:spacing w:val="-11"/>
          <w:w w:val="105"/>
        </w:rPr>
        <w:t> </w:t>
      </w:r>
      <w:r>
        <w:rPr>
          <w:w w:val="105"/>
        </w:rPr>
        <w:t>analyst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Paciﬁc</w:t>
      </w:r>
      <w:r>
        <w:rPr>
          <w:spacing w:val="-10"/>
          <w:w w:val="105"/>
        </w:rPr>
        <w:t> </w:t>
      </w:r>
      <w:r>
        <w:rPr>
          <w:w w:val="105"/>
        </w:rPr>
        <w:t>Edge</w:t>
      </w:r>
      <w:r>
        <w:rPr>
          <w:spacing w:val="-11"/>
          <w:w w:val="105"/>
        </w:rPr>
        <w:t> </w:t>
      </w:r>
      <w:r>
        <w:rPr>
          <w:w w:val="105"/>
        </w:rPr>
        <w:t>Inc.,</w:t>
      </w:r>
      <w:r>
        <w:rPr>
          <w:spacing w:val="-10"/>
          <w:w w:val="105"/>
        </w:rPr>
        <w:t> </w:t>
      </w:r>
      <w:r>
        <w:rPr>
          <w:w w:val="105"/>
        </w:rPr>
        <w:t>Oakland,</w:t>
      </w:r>
      <w:r>
        <w:rPr>
          <w:spacing w:val="-11"/>
          <w:w w:val="105"/>
        </w:rPr>
        <w:t> </w:t>
      </w:r>
      <w:r>
        <w:rPr>
          <w:w w:val="105"/>
        </w:rPr>
        <w:t>CA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July</w:t>
      </w:r>
      <w:r>
        <w:rPr>
          <w:spacing w:val="-10"/>
          <w:w w:val="105"/>
        </w:rPr>
        <w:t> </w:t>
      </w:r>
      <w:r>
        <w:rPr>
          <w:w w:val="105"/>
        </w:rPr>
        <w:t>2014</w:t>
      </w:r>
      <w:r>
        <w:rPr>
          <w:spacing w:val="-11"/>
          <w:w w:val="105"/>
        </w:rPr>
        <w:t> </w:t>
      </w:r>
      <w:r>
        <w:rPr>
          <w:w w:val="105"/>
        </w:rPr>
        <w:t>–</w:t>
      </w:r>
      <w:r>
        <w:rPr>
          <w:spacing w:val="-10"/>
          <w:w w:val="105"/>
        </w:rPr>
        <w:t> </w:t>
      </w:r>
      <w:r>
        <w:rPr>
          <w:w w:val="105"/>
        </w:rPr>
        <w:t>April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41"/>
      </w:pPr>
      <w:r>
        <w:rPr>
          <w:w w:val="105"/>
        </w:rPr>
        <w:t>Conducted ﬁnancial models and scenario planning for client expansion projects Collaborated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cross-functional</w:t>
      </w:r>
      <w:r>
        <w:rPr>
          <w:spacing w:val="-5"/>
          <w:w w:val="105"/>
        </w:rPr>
        <w:t> </w:t>
      </w:r>
      <w:r>
        <w:rPr>
          <w:w w:val="105"/>
        </w:rPr>
        <w:t>teams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align</w:t>
      </w:r>
      <w:r>
        <w:rPr>
          <w:spacing w:val="-5"/>
          <w:w w:val="105"/>
        </w:rPr>
        <w:t> </w:t>
      </w:r>
      <w:r>
        <w:rPr>
          <w:w w:val="105"/>
        </w:rPr>
        <w:t>operations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business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goals</w:t>
      </w:r>
    </w:p>
    <w:p>
      <w:pPr>
        <w:pStyle w:val="BodyText"/>
        <w:spacing w:before="31"/>
      </w:pPr>
    </w:p>
    <w:p>
      <w:pPr>
        <w:pStyle w:val="Heading1"/>
        <w:spacing w:before="1"/>
      </w:pPr>
      <w:r>
        <w:rPr>
          <w:color w:val="040404"/>
          <w:spacing w:val="-2"/>
        </w:rPr>
        <w:t>EDUCATION</w:t>
      </w:r>
    </w:p>
    <w:p>
      <w:pPr>
        <w:pStyle w:val="Heading2"/>
      </w:pPr>
      <w:r>
        <w:rPr>
          <w:spacing w:val="-2"/>
          <w:w w:val="105"/>
        </w:rPr>
        <w:t>M.B.A.</w:t>
      </w:r>
    </w:p>
    <w:p>
      <w:pPr>
        <w:pStyle w:val="BodyText"/>
        <w:spacing w:before="37"/>
        <w:ind w:left="102"/>
      </w:pPr>
      <w:r>
        <w:rPr>
          <w:spacing w:val="-2"/>
          <w:w w:val="105"/>
        </w:rPr>
        <w:t>University</w:t>
      </w:r>
      <w:r>
        <w:rPr>
          <w:w w:val="105"/>
        </w:rPr>
        <w:t> </w:t>
      </w:r>
      <w:r>
        <w:rPr>
          <w:spacing w:val="-2"/>
          <w:w w:val="105"/>
        </w:rPr>
        <w:t>of</w:t>
      </w:r>
      <w:r>
        <w:rPr>
          <w:w w:val="105"/>
        </w:rPr>
        <w:t> </w:t>
      </w:r>
      <w:r>
        <w:rPr>
          <w:spacing w:val="-2"/>
          <w:w w:val="105"/>
        </w:rPr>
        <w:t>California,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Berkeley,</w:t>
      </w:r>
      <w:r>
        <w:rPr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1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93"/>
      </w:pPr>
    </w:p>
    <w:p>
      <w:pPr>
        <w:pStyle w:val="Heading2"/>
        <w:spacing w:before="0"/>
      </w:pPr>
      <w:r>
        <w:rPr>
          <w:w w:val="105"/>
        </w:rPr>
        <w:t>B.S.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Economics</w:t>
      </w:r>
    </w:p>
    <w:p>
      <w:pPr>
        <w:pStyle w:val="BodyText"/>
        <w:spacing w:before="22"/>
        <w:ind w:left="102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Oregon,</w:t>
      </w:r>
      <w:r>
        <w:rPr>
          <w:spacing w:val="-9"/>
          <w:w w:val="105"/>
        </w:rPr>
        <w:t> </w:t>
      </w:r>
      <w:r>
        <w:rPr>
          <w:w w:val="105"/>
        </w:rPr>
        <w:t>Eugene,</w:t>
      </w:r>
      <w:r>
        <w:rPr>
          <w:spacing w:val="-9"/>
          <w:w w:val="105"/>
        </w:rPr>
        <w:t> </w:t>
      </w:r>
      <w:r>
        <w:rPr>
          <w:w w:val="105"/>
        </w:rPr>
        <w:t>OR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June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2011</w:t>
      </w:r>
    </w:p>
    <w:sectPr>
      <w:type w:val="continuous"/>
      <w:pgSz w:w="11920" w:h="16860"/>
      <w:pgMar w:top="820" w:bottom="280" w:left="400" w:right="340"/>
      <w:cols w:num="2" w:equalWidth="0">
        <w:col w:w="2310" w:space="1615"/>
        <w:col w:w="72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2025-09-12T16:41:46Z</dcterms:created>
  <dcterms:modified xsi:type="dcterms:W3CDTF">2025-09-12T16:41:46Z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