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387"/>
        <w:ind w:firstLine="0"/>
        <w:rPr>
          <w:rFonts w:ascii="Times New Roman"/>
          <w:sz w:val="74"/>
        </w:rPr>
      </w:pPr>
    </w:p>
    <w:p>
      <w:pPr>
        <w:spacing w:before="0"/>
        <w:ind w:left="0" w:right="24" w:firstLine="0"/>
        <w:jc w:val="center"/>
        <w:rPr>
          <w:rFonts w:ascii="Microsoft Sans Serif"/>
          <w:sz w:val="74"/>
        </w:rPr>
      </w:pPr>
      <w:r>
        <w:rPr>
          <w:b/>
          <w:color w:val="080808"/>
          <w:sz w:val="74"/>
        </w:rPr>
        <w:t>Drew</w:t>
      </w:r>
      <w:r>
        <w:rPr>
          <w:b/>
          <w:color w:val="080808"/>
          <w:spacing w:val="24"/>
          <w:sz w:val="74"/>
        </w:rPr>
        <w:t> </w:t>
      </w:r>
      <w:r>
        <w:rPr>
          <w:rFonts w:ascii="Microsoft Sans Serif"/>
          <w:color w:val="080808"/>
          <w:spacing w:val="-2"/>
          <w:sz w:val="74"/>
        </w:rPr>
        <w:t>Moore</w:t>
      </w:r>
    </w:p>
    <w:p>
      <w:pPr>
        <w:pStyle w:val="Title"/>
      </w:pPr>
      <w:r>
        <w:rPr>
          <w:color w:val="080808"/>
        </w:rPr>
        <w:t>Compliance</w:t>
      </w:r>
      <w:r>
        <w:rPr>
          <w:color w:val="080808"/>
          <w:spacing w:val="7"/>
        </w:rPr>
        <w:t> </w:t>
      </w:r>
      <w:r>
        <w:rPr>
          <w:color w:val="080808"/>
        </w:rPr>
        <w:t>Legal</w:t>
      </w:r>
      <w:r>
        <w:rPr>
          <w:color w:val="080808"/>
          <w:spacing w:val="7"/>
        </w:rPr>
        <w:t> </w:t>
      </w:r>
      <w:r>
        <w:rPr>
          <w:color w:val="080808"/>
          <w:spacing w:val="-2"/>
        </w:rPr>
        <w:t>Assistant</w:t>
      </w:r>
    </w:p>
    <w:p>
      <w:pPr>
        <w:spacing w:before="194"/>
        <w:ind w:left="2599" w:right="0" w:firstLine="0"/>
        <w:jc w:val="left"/>
        <w:rPr>
          <w:sz w:val="16"/>
        </w:rPr>
      </w:pPr>
      <w:r>
        <w:rPr>
          <w:color w:val="080808"/>
          <w:sz w:val="16"/>
        </w:rPr>
        <w:t>(000)</w:t>
      </w:r>
      <w:r>
        <w:rPr>
          <w:color w:val="080808"/>
          <w:spacing w:val="13"/>
          <w:sz w:val="16"/>
        </w:rPr>
        <w:t> </w:t>
      </w:r>
      <w:r>
        <w:rPr>
          <w:color w:val="080808"/>
          <w:sz w:val="16"/>
        </w:rPr>
        <w:t>765-4321</w:t>
      </w:r>
      <w:r>
        <w:rPr>
          <w:color w:val="080808"/>
          <w:spacing w:val="48"/>
          <w:sz w:val="16"/>
        </w:rPr>
        <w:t> </w:t>
      </w:r>
      <w:r>
        <w:rPr>
          <w:color w:val="080808"/>
          <w:sz w:val="11"/>
        </w:rPr>
        <w:t>•</w:t>
      </w:r>
      <w:r>
        <w:rPr>
          <w:color w:val="080808"/>
          <w:spacing w:val="62"/>
          <w:sz w:val="11"/>
        </w:rPr>
        <w:t> </w:t>
      </w:r>
      <w:r>
        <w:rPr>
          <w:color w:val="080808"/>
          <w:sz w:val="16"/>
        </w:rPr>
        <w:t>Houston,</w:t>
      </w:r>
      <w:r>
        <w:rPr>
          <w:color w:val="080808"/>
          <w:spacing w:val="13"/>
          <w:sz w:val="16"/>
        </w:rPr>
        <w:t> </w:t>
      </w:r>
      <w:r>
        <w:rPr>
          <w:color w:val="080808"/>
          <w:sz w:val="16"/>
        </w:rPr>
        <w:t>TX</w:t>
      </w:r>
      <w:r>
        <w:rPr>
          <w:color w:val="080808"/>
          <w:spacing w:val="48"/>
          <w:sz w:val="16"/>
        </w:rPr>
        <w:t> </w:t>
      </w:r>
      <w:r>
        <w:rPr>
          <w:color w:val="080808"/>
          <w:sz w:val="11"/>
        </w:rPr>
        <w:t>•</w:t>
      </w:r>
      <w:r>
        <w:rPr>
          <w:color w:val="080808"/>
          <w:spacing w:val="62"/>
          <w:sz w:val="11"/>
        </w:rPr>
        <w:t> </w:t>
      </w:r>
      <w:hyperlink r:id="rId5">
        <w:r>
          <w:rPr>
            <w:color w:val="080808"/>
            <w:sz w:val="16"/>
          </w:rPr>
          <w:t>drew.thompson@email.com</w:t>
        </w:r>
      </w:hyperlink>
      <w:r>
        <w:rPr>
          <w:color w:val="080808"/>
          <w:spacing w:val="47"/>
          <w:sz w:val="16"/>
        </w:rPr>
        <w:t> </w:t>
      </w:r>
      <w:r>
        <w:rPr>
          <w:color w:val="080808"/>
          <w:sz w:val="11"/>
        </w:rPr>
        <w:t>•</w:t>
      </w:r>
      <w:r>
        <w:rPr>
          <w:color w:val="080808"/>
          <w:spacing w:val="62"/>
          <w:sz w:val="11"/>
        </w:rPr>
        <w:t> </w:t>
      </w:r>
      <w:r>
        <w:rPr>
          <w:color w:val="080808"/>
          <w:spacing w:val="-2"/>
          <w:sz w:val="16"/>
        </w:rPr>
        <w:t>LinkedIn</w:t>
      </w:r>
    </w:p>
    <w:p>
      <w:pPr>
        <w:pStyle w:val="BodyText"/>
        <w:spacing w:before="12"/>
        <w:ind w:firstLine="0"/>
        <w:rPr>
          <w:sz w:val="20"/>
        </w:rPr>
      </w:pPr>
      <w:r>
        <w:rPr/>
        <mc:AlternateContent>
          <mc:Choice Requires="wps">
            <w:drawing>
              <wp:anchor distT="0" distB="0" distL="0" distR="0" allowOverlap="1" layoutInCell="1" locked="0" behindDoc="1" simplePos="0" relativeHeight="487587840">
                <wp:simplePos x="0" y="0"/>
                <wp:positionH relativeFrom="page">
                  <wp:posOffset>523874</wp:posOffset>
                </wp:positionH>
                <wp:positionV relativeFrom="paragraph">
                  <wp:posOffset>169117</wp:posOffset>
                </wp:positionV>
                <wp:extent cx="6448425" cy="9525"/>
                <wp:effectExtent l="0" t="0" r="0" b="0"/>
                <wp:wrapTopAndBottom/>
                <wp:docPr id="1" name="Graphic 1"/>
                <wp:cNvGraphicFramePr>
                  <a:graphicFrameLocks/>
                </wp:cNvGraphicFramePr>
                <a:graphic>
                  <a:graphicData uri="http://schemas.microsoft.com/office/word/2010/wordprocessingShape">
                    <wps:wsp>
                      <wps:cNvPr id="1" name="Graphic 1"/>
                      <wps:cNvSpPr/>
                      <wps:spPr>
                        <a:xfrm>
                          <a:off x="0" y="0"/>
                          <a:ext cx="6448425" cy="9525"/>
                        </a:xfrm>
                        <a:custGeom>
                          <a:avLst/>
                          <a:gdLst/>
                          <a:ahLst/>
                          <a:cxnLst/>
                          <a:rect l="l" t="t" r="r" b="b"/>
                          <a:pathLst>
                            <a:path w="6448425" h="9525">
                              <a:moveTo>
                                <a:pt x="6448424" y="9524"/>
                              </a:moveTo>
                              <a:lnTo>
                                <a:pt x="0" y="9524"/>
                              </a:lnTo>
                              <a:lnTo>
                                <a:pt x="0" y="0"/>
                              </a:lnTo>
                              <a:lnTo>
                                <a:pt x="6448424" y="0"/>
                              </a:lnTo>
                              <a:lnTo>
                                <a:pt x="6448424" y="9524"/>
                              </a:lnTo>
                              <a:close/>
                            </a:path>
                          </a:pathLst>
                        </a:custGeom>
                        <a:solidFill>
                          <a:srgbClr val="000000">
                            <a:alpha val="43919"/>
                          </a:srgbClr>
                        </a:solidFill>
                      </wps:spPr>
                      <wps:bodyPr wrap="square" lIns="0" tIns="0" rIns="0" bIns="0" rtlCol="0">
                        <a:prstTxWarp prst="textNoShape">
                          <a:avLst/>
                        </a:prstTxWarp>
                        <a:noAutofit/>
                      </wps:bodyPr>
                    </wps:wsp>
                  </a:graphicData>
                </a:graphic>
              </wp:anchor>
            </w:drawing>
          </mc:Choice>
          <mc:Fallback>
            <w:pict>
              <v:rect style="position:absolute;margin-left:41.249996pt;margin-top:13.316374pt;width:507.74996pt;height:.75pt;mso-position-horizontal-relative:page;mso-position-vertical-relative:paragraph;z-index:-15728640;mso-wrap-distance-left:0;mso-wrap-distance-right:0" id="docshape1" filled="true" fillcolor="#000000" stroked="false">
                <v:fill opacity="28783f" type="solid"/>
                <w10:wrap type="topAndBottom"/>
              </v:rect>
            </w:pict>
          </mc:Fallback>
        </mc:AlternateContent>
      </w:r>
    </w:p>
    <w:p>
      <w:pPr>
        <w:pStyle w:val="BodyText"/>
        <w:spacing w:before="40"/>
        <w:ind w:firstLine="0"/>
        <w:rPr>
          <w:sz w:val="16"/>
        </w:rPr>
      </w:pPr>
    </w:p>
    <w:p>
      <w:pPr>
        <w:spacing w:before="1"/>
        <w:ind w:left="332" w:right="24" w:firstLine="0"/>
        <w:jc w:val="center"/>
        <w:rPr>
          <w:b/>
          <w:sz w:val="16"/>
        </w:rPr>
      </w:pPr>
      <w:r>
        <w:rPr>
          <w:b/>
          <w:spacing w:val="-2"/>
          <w:w w:val="105"/>
          <w:sz w:val="16"/>
        </w:rPr>
        <w:t>Compliance</w:t>
      </w:r>
      <w:r>
        <w:rPr>
          <w:b/>
          <w:spacing w:val="1"/>
          <w:w w:val="105"/>
          <w:sz w:val="16"/>
        </w:rPr>
        <w:t> </w:t>
      </w:r>
      <w:r>
        <w:rPr>
          <w:b/>
          <w:spacing w:val="-2"/>
          <w:w w:val="105"/>
          <w:sz w:val="16"/>
        </w:rPr>
        <w:t>Legal</w:t>
      </w:r>
      <w:r>
        <w:rPr>
          <w:b/>
          <w:spacing w:val="-5"/>
          <w:w w:val="105"/>
          <w:sz w:val="16"/>
        </w:rPr>
        <w:t> </w:t>
      </w:r>
      <w:r>
        <w:rPr>
          <w:b/>
          <w:spacing w:val="-2"/>
          <w:w w:val="105"/>
          <w:sz w:val="16"/>
        </w:rPr>
        <w:t>Assistant</w:t>
      </w:r>
      <w:r>
        <w:rPr>
          <w:b/>
          <w:spacing w:val="1"/>
          <w:w w:val="105"/>
          <w:sz w:val="16"/>
        </w:rPr>
        <w:t> </w:t>
      </w:r>
      <w:r>
        <w:rPr>
          <w:b/>
          <w:spacing w:val="-2"/>
          <w:w w:val="105"/>
          <w:sz w:val="16"/>
        </w:rPr>
        <w:t>with</w:t>
      </w:r>
      <w:r>
        <w:rPr>
          <w:b/>
          <w:spacing w:val="2"/>
          <w:w w:val="105"/>
          <w:sz w:val="16"/>
        </w:rPr>
        <w:t> </w:t>
      </w:r>
      <w:r>
        <w:rPr>
          <w:b/>
          <w:spacing w:val="-2"/>
          <w:w w:val="105"/>
          <w:sz w:val="16"/>
        </w:rPr>
        <w:t>Risk</w:t>
      </w:r>
      <w:r>
        <w:rPr>
          <w:b/>
          <w:spacing w:val="2"/>
          <w:w w:val="105"/>
          <w:sz w:val="16"/>
        </w:rPr>
        <w:t> </w:t>
      </w:r>
      <w:r>
        <w:rPr>
          <w:b/>
          <w:spacing w:val="-2"/>
          <w:w w:val="105"/>
          <w:sz w:val="16"/>
        </w:rPr>
        <w:t>Management</w:t>
      </w:r>
      <w:r>
        <w:rPr>
          <w:b/>
          <w:spacing w:val="1"/>
          <w:w w:val="105"/>
          <w:sz w:val="16"/>
        </w:rPr>
        <w:t> </w:t>
      </w:r>
      <w:r>
        <w:rPr>
          <w:b/>
          <w:spacing w:val="-2"/>
          <w:w w:val="105"/>
          <w:sz w:val="16"/>
        </w:rPr>
        <w:t>Experience</w:t>
      </w:r>
    </w:p>
    <w:p>
      <w:pPr>
        <w:spacing w:line="292" w:lineRule="auto" w:before="41"/>
        <w:ind w:left="335" w:right="24" w:firstLine="0"/>
        <w:jc w:val="center"/>
        <w:rPr>
          <w:sz w:val="16"/>
        </w:rPr>
      </w:pPr>
      <w:r>
        <w:rPr>
          <w:w w:val="105"/>
          <w:sz w:val="16"/>
        </w:rPr>
        <w:t>Legal assistant with seven years of experience supporting corporate legal teams in regulatory compliance, policy updates, and risk assessment documentation. Known for improving internal workﬂows and ensuring documentation aligns with federal standards.</w:t>
      </w:r>
    </w:p>
    <w:p>
      <w:pPr>
        <w:pStyle w:val="BodyText"/>
        <w:ind w:firstLine="0"/>
        <w:rPr>
          <w:sz w:val="16"/>
        </w:rPr>
      </w:pPr>
    </w:p>
    <w:p>
      <w:pPr>
        <w:pStyle w:val="BodyText"/>
        <w:spacing w:before="105"/>
        <w:ind w:firstLine="0"/>
        <w:rPr>
          <w:sz w:val="16"/>
        </w:rPr>
      </w:pPr>
    </w:p>
    <w:p>
      <w:pPr>
        <w:pStyle w:val="Heading1"/>
      </w:pPr>
      <w:r>
        <w:rPr>
          <w:color w:val="080808"/>
          <w:spacing w:val="-2"/>
        </w:rPr>
        <w:t>Professional</w:t>
      </w:r>
      <w:r>
        <w:rPr>
          <w:color w:val="080808"/>
          <w:spacing w:val="-14"/>
        </w:rPr>
        <w:t> </w:t>
      </w:r>
      <w:r>
        <w:rPr>
          <w:color w:val="080808"/>
          <w:spacing w:val="-2"/>
        </w:rPr>
        <w:t>Experience</w:t>
      </w:r>
    </w:p>
    <w:p>
      <w:pPr>
        <w:pStyle w:val="BodyText"/>
        <w:spacing w:line="295" w:lineRule="auto" w:before="252"/>
        <w:ind w:left="358" w:right="1465" w:firstLine="0"/>
      </w:pPr>
      <w:r>
        <w:rPr/>
        <w:t>COMPLIANCE</w:t>
      </w:r>
      <w:r>
        <w:rPr>
          <w:spacing w:val="-2"/>
        </w:rPr>
        <w:t> </w:t>
      </w:r>
      <w:r>
        <w:rPr/>
        <w:t>LEGAL</w:t>
      </w:r>
      <w:r>
        <w:rPr>
          <w:spacing w:val="-2"/>
        </w:rPr>
        <w:t> </w:t>
      </w:r>
      <w:r>
        <w:rPr/>
        <w:t>ASSISTANT</w:t>
      </w:r>
      <w:r>
        <w:rPr>
          <w:spacing w:val="40"/>
        </w:rPr>
        <w:t> </w:t>
      </w:r>
      <w:r>
        <w:rPr/>
        <w:t>|</w:t>
      </w:r>
      <w:r>
        <w:rPr>
          <w:spacing w:val="40"/>
        </w:rPr>
        <w:t> </w:t>
      </w:r>
      <w:r>
        <w:rPr/>
        <w:t>VANGUARD</w:t>
      </w:r>
      <w:r>
        <w:rPr>
          <w:spacing w:val="-2"/>
        </w:rPr>
        <w:t> </w:t>
      </w:r>
      <w:r>
        <w:rPr/>
        <w:t>COMPLIANCE</w:t>
      </w:r>
      <w:r>
        <w:rPr>
          <w:spacing w:val="-2"/>
        </w:rPr>
        <w:t> </w:t>
      </w:r>
      <w:r>
        <w:rPr/>
        <w:t>COUNSEL,</w:t>
      </w:r>
      <w:r>
        <w:rPr>
          <w:spacing w:val="-2"/>
        </w:rPr>
        <w:t> </w:t>
      </w:r>
      <w:r>
        <w:rPr/>
        <w:t>HOUSTON,</w:t>
      </w:r>
      <w:r>
        <w:rPr>
          <w:spacing w:val="-2"/>
        </w:rPr>
        <w:t> </w:t>
      </w:r>
      <w:r>
        <w:rPr/>
        <w:t>TX FEBRUARY 2020 – PRESENT</w:t>
      </w:r>
    </w:p>
    <w:p>
      <w:pPr>
        <w:pStyle w:val="ListParagraph"/>
        <w:numPr>
          <w:ilvl w:val="0"/>
          <w:numId w:val="1"/>
        </w:numPr>
        <w:tabs>
          <w:tab w:pos="877" w:val="left" w:leader="none"/>
        </w:tabs>
        <w:spacing w:line="351" w:lineRule="exact" w:before="139" w:after="0"/>
        <w:ind w:left="877" w:right="0" w:hanging="296"/>
        <w:jc w:val="left"/>
        <w:rPr>
          <w:sz w:val="18"/>
        </w:rPr>
      </w:pPr>
      <w:r>
        <w:rPr>
          <w:w w:val="105"/>
          <w:sz w:val="18"/>
        </w:rPr>
        <w:t>Review</w:t>
      </w:r>
      <w:r>
        <w:rPr>
          <w:spacing w:val="-7"/>
          <w:w w:val="105"/>
          <w:sz w:val="18"/>
        </w:rPr>
        <w:t> </w:t>
      </w:r>
      <w:r>
        <w:rPr>
          <w:w w:val="105"/>
          <w:sz w:val="18"/>
        </w:rPr>
        <w:t>corporate</w:t>
      </w:r>
      <w:r>
        <w:rPr>
          <w:spacing w:val="-6"/>
          <w:w w:val="105"/>
          <w:sz w:val="18"/>
        </w:rPr>
        <w:t> </w:t>
      </w:r>
      <w:r>
        <w:rPr>
          <w:w w:val="105"/>
          <w:sz w:val="18"/>
        </w:rPr>
        <w:t>policies</w:t>
      </w:r>
      <w:r>
        <w:rPr>
          <w:spacing w:val="-7"/>
          <w:w w:val="105"/>
          <w:sz w:val="18"/>
        </w:rPr>
        <w:t> </w:t>
      </w:r>
      <w:r>
        <w:rPr>
          <w:w w:val="105"/>
          <w:sz w:val="18"/>
        </w:rPr>
        <w:t>and</w:t>
      </w:r>
      <w:r>
        <w:rPr>
          <w:spacing w:val="-6"/>
          <w:w w:val="105"/>
          <w:sz w:val="18"/>
        </w:rPr>
        <w:t> </w:t>
      </w:r>
      <w:r>
        <w:rPr>
          <w:w w:val="105"/>
          <w:sz w:val="18"/>
        </w:rPr>
        <w:t>assist</w:t>
      </w:r>
      <w:r>
        <w:rPr>
          <w:spacing w:val="-6"/>
          <w:w w:val="105"/>
          <w:sz w:val="18"/>
        </w:rPr>
        <w:t> </w:t>
      </w:r>
      <w:r>
        <w:rPr>
          <w:w w:val="105"/>
          <w:sz w:val="18"/>
        </w:rPr>
        <w:t>the</w:t>
      </w:r>
      <w:r>
        <w:rPr>
          <w:spacing w:val="-7"/>
          <w:w w:val="105"/>
          <w:sz w:val="18"/>
        </w:rPr>
        <w:t> </w:t>
      </w:r>
      <w:r>
        <w:rPr>
          <w:w w:val="105"/>
          <w:sz w:val="18"/>
        </w:rPr>
        <w:t>legal</w:t>
      </w:r>
      <w:r>
        <w:rPr>
          <w:spacing w:val="-6"/>
          <w:w w:val="105"/>
          <w:sz w:val="18"/>
        </w:rPr>
        <w:t> </w:t>
      </w:r>
      <w:r>
        <w:rPr>
          <w:w w:val="105"/>
          <w:sz w:val="18"/>
        </w:rPr>
        <w:t>team</w:t>
      </w:r>
      <w:r>
        <w:rPr>
          <w:spacing w:val="-6"/>
          <w:w w:val="105"/>
          <w:sz w:val="18"/>
        </w:rPr>
        <w:t> </w:t>
      </w:r>
      <w:r>
        <w:rPr>
          <w:w w:val="105"/>
          <w:sz w:val="18"/>
        </w:rPr>
        <w:t>in</w:t>
      </w:r>
      <w:r>
        <w:rPr>
          <w:spacing w:val="-7"/>
          <w:w w:val="105"/>
          <w:sz w:val="18"/>
        </w:rPr>
        <w:t> </w:t>
      </w:r>
      <w:r>
        <w:rPr>
          <w:w w:val="105"/>
          <w:sz w:val="18"/>
        </w:rPr>
        <w:t>updating</w:t>
      </w:r>
      <w:r>
        <w:rPr>
          <w:spacing w:val="-6"/>
          <w:w w:val="105"/>
          <w:sz w:val="18"/>
        </w:rPr>
        <w:t> </w:t>
      </w:r>
      <w:r>
        <w:rPr>
          <w:w w:val="105"/>
          <w:sz w:val="18"/>
        </w:rPr>
        <w:t>compliance</w:t>
      </w:r>
      <w:r>
        <w:rPr>
          <w:spacing w:val="-6"/>
          <w:w w:val="105"/>
          <w:sz w:val="18"/>
        </w:rPr>
        <w:t> </w:t>
      </w:r>
      <w:r>
        <w:rPr>
          <w:spacing w:val="-2"/>
          <w:w w:val="105"/>
          <w:sz w:val="18"/>
        </w:rPr>
        <w:t>documentation</w:t>
      </w:r>
    </w:p>
    <w:p>
      <w:pPr>
        <w:pStyle w:val="ListParagraph"/>
        <w:numPr>
          <w:ilvl w:val="0"/>
          <w:numId w:val="1"/>
        </w:numPr>
        <w:tabs>
          <w:tab w:pos="877" w:val="left" w:leader="none"/>
        </w:tabs>
        <w:spacing w:line="345" w:lineRule="exact" w:before="0" w:after="0"/>
        <w:ind w:left="877" w:right="0" w:hanging="296"/>
        <w:jc w:val="left"/>
        <w:rPr>
          <w:sz w:val="18"/>
        </w:rPr>
      </w:pPr>
      <w:r>
        <w:rPr>
          <w:spacing w:val="-2"/>
          <w:w w:val="105"/>
          <w:sz w:val="18"/>
        </w:rPr>
        <w:t>Track</w:t>
      </w:r>
      <w:r>
        <w:rPr>
          <w:spacing w:val="-1"/>
          <w:w w:val="105"/>
          <w:sz w:val="18"/>
        </w:rPr>
        <w:t> </w:t>
      </w:r>
      <w:r>
        <w:rPr>
          <w:spacing w:val="-2"/>
          <w:w w:val="105"/>
          <w:sz w:val="18"/>
        </w:rPr>
        <w:t>changes</w:t>
      </w:r>
      <w:r>
        <w:rPr>
          <w:w w:val="105"/>
          <w:sz w:val="18"/>
        </w:rPr>
        <w:t> </w:t>
      </w:r>
      <w:r>
        <w:rPr>
          <w:spacing w:val="-2"/>
          <w:w w:val="105"/>
          <w:sz w:val="18"/>
        </w:rPr>
        <w:t>in</w:t>
      </w:r>
      <w:r>
        <w:rPr>
          <w:spacing w:val="-1"/>
          <w:w w:val="105"/>
          <w:sz w:val="18"/>
        </w:rPr>
        <w:t> </w:t>
      </w:r>
      <w:r>
        <w:rPr>
          <w:spacing w:val="-2"/>
          <w:w w:val="105"/>
          <w:sz w:val="18"/>
        </w:rPr>
        <w:t>regulatory</w:t>
      </w:r>
      <w:r>
        <w:rPr>
          <w:w w:val="105"/>
          <w:sz w:val="18"/>
        </w:rPr>
        <w:t> </w:t>
      </w:r>
      <w:r>
        <w:rPr>
          <w:spacing w:val="-2"/>
          <w:w w:val="105"/>
          <w:sz w:val="18"/>
        </w:rPr>
        <w:t>requirements</w:t>
      </w:r>
      <w:r>
        <w:rPr>
          <w:w w:val="105"/>
          <w:sz w:val="18"/>
        </w:rPr>
        <w:t> </w:t>
      </w:r>
      <w:r>
        <w:rPr>
          <w:spacing w:val="-2"/>
          <w:w w:val="105"/>
          <w:sz w:val="18"/>
        </w:rPr>
        <w:t>and</w:t>
      </w:r>
      <w:r>
        <w:rPr>
          <w:spacing w:val="-1"/>
          <w:w w:val="105"/>
          <w:sz w:val="18"/>
        </w:rPr>
        <w:t> </w:t>
      </w:r>
      <w:r>
        <w:rPr>
          <w:spacing w:val="-2"/>
          <w:w w:val="105"/>
          <w:sz w:val="18"/>
        </w:rPr>
        <w:t>prepare</w:t>
      </w:r>
      <w:r>
        <w:rPr>
          <w:w w:val="105"/>
          <w:sz w:val="18"/>
        </w:rPr>
        <w:t> </w:t>
      </w:r>
      <w:r>
        <w:rPr>
          <w:spacing w:val="-2"/>
          <w:w w:val="105"/>
          <w:sz w:val="18"/>
        </w:rPr>
        <w:t>summaries</w:t>
      </w:r>
      <w:r>
        <w:rPr>
          <w:spacing w:val="-1"/>
          <w:w w:val="105"/>
          <w:sz w:val="18"/>
        </w:rPr>
        <w:t> </w:t>
      </w:r>
      <w:r>
        <w:rPr>
          <w:spacing w:val="-2"/>
          <w:w w:val="105"/>
          <w:sz w:val="18"/>
        </w:rPr>
        <w:t>for</w:t>
      </w:r>
      <w:r>
        <w:rPr>
          <w:w w:val="105"/>
          <w:sz w:val="18"/>
        </w:rPr>
        <w:t> </w:t>
      </w:r>
      <w:r>
        <w:rPr>
          <w:spacing w:val="-2"/>
          <w:w w:val="105"/>
          <w:sz w:val="18"/>
        </w:rPr>
        <w:t>executive</w:t>
      </w:r>
      <w:r>
        <w:rPr>
          <w:w w:val="105"/>
          <w:sz w:val="18"/>
        </w:rPr>
        <w:t> </w:t>
      </w:r>
      <w:r>
        <w:rPr>
          <w:spacing w:val="-2"/>
          <w:w w:val="105"/>
          <w:sz w:val="18"/>
        </w:rPr>
        <w:t>brieﬁngs</w:t>
      </w:r>
    </w:p>
    <w:p>
      <w:pPr>
        <w:pStyle w:val="ListParagraph"/>
        <w:numPr>
          <w:ilvl w:val="0"/>
          <w:numId w:val="1"/>
        </w:numPr>
        <w:tabs>
          <w:tab w:pos="877" w:val="left" w:leader="none"/>
        </w:tabs>
        <w:spacing w:line="351" w:lineRule="exact" w:before="0" w:after="0"/>
        <w:ind w:left="877" w:right="0" w:hanging="296"/>
        <w:jc w:val="left"/>
        <w:rPr>
          <w:sz w:val="18"/>
        </w:rPr>
      </w:pPr>
      <w:r>
        <w:rPr>
          <w:w w:val="105"/>
          <w:sz w:val="18"/>
        </w:rPr>
        <w:t>Coordinate</w:t>
      </w:r>
      <w:r>
        <w:rPr>
          <w:spacing w:val="-9"/>
          <w:w w:val="105"/>
          <w:sz w:val="18"/>
        </w:rPr>
        <w:t> </w:t>
      </w:r>
      <w:r>
        <w:rPr>
          <w:w w:val="105"/>
          <w:sz w:val="18"/>
        </w:rPr>
        <w:t>internal</w:t>
      </w:r>
      <w:r>
        <w:rPr>
          <w:spacing w:val="-8"/>
          <w:w w:val="105"/>
          <w:sz w:val="18"/>
        </w:rPr>
        <w:t> </w:t>
      </w:r>
      <w:r>
        <w:rPr>
          <w:w w:val="105"/>
          <w:sz w:val="18"/>
        </w:rPr>
        <w:t>audits</w:t>
      </w:r>
      <w:r>
        <w:rPr>
          <w:spacing w:val="-8"/>
          <w:w w:val="105"/>
          <w:sz w:val="18"/>
        </w:rPr>
        <w:t> </w:t>
      </w:r>
      <w:r>
        <w:rPr>
          <w:w w:val="105"/>
          <w:sz w:val="18"/>
        </w:rPr>
        <w:t>and</w:t>
      </w:r>
      <w:r>
        <w:rPr>
          <w:spacing w:val="-8"/>
          <w:w w:val="105"/>
          <w:sz w:val="18"/>
        </w:rPr>
        <w:t> </w:t>
      </w:r>
      <w:r>
        <w:rPr>
          <w:w w:val="105"/>
          <w:sz w:val="18"/>
        </w:rPr>
        <w:t>organize</w:t>
      </w:r>
      <w:r>
        <w:rPr>
          <w:spacing w:val="-8"/>
          <w:w w:val="105"/>
          <w:sz w:val="18"/>
        </w:rPr>
        <w:t> </w:t>
      </w:r>
      <w:r>
        <w:rPr>
          <w:w w:val="105"/>
          <w:sz w:val="18"/>
        </w:rPr>
        <w:t>supporting</w:t>
      </w:r>
      <w:r>
        <w:rPr>
          <w:spacing w:val="-8"/>
          <w:w w:val="105"/>
          <w:sz w:val="18"/>
        </w:rPr>
        <w:t> </w:t>
      </w:r>
      <w:r>
        <w:rPr>
          <w:spacing w:val="-2"/>
          <w:w w:val="105"/>
          <w:sz w:val="18"/>
        </w:rPr>
        <w:t>documentation</w:t>
      </w:r>
    </w:p>
    <w:p>
      <w:pPr>
        <w:pStyle w:val="BodyText"/>
        <w:spacing w:before="48"/>
        <w:ind w:firstLine="0"/>
      </w:pPr>
    </w:p>
    <w:p>
      <w:pPr>
        <w:pStyle w:val="BodyText"/>
        <w:spacing w:line="278" w:lineRule="auto"/>
        <w:ind w:left="358" w:right="3803" w:firstLine="0"/>
      </w:pPr>
      <w:r>
        <w:rPr/>
        <w:t>LEGAL</w:t>
      </w:r>
      <w:r>
        <w:rPr>
          <w:spacing w:val="-11"/>
        </w:rPr>
        <w:t> </w:t>
      </w:r>
      <w:r>
        <w:rPr/>
        <w:t>ASSISTANT</w:t>
      </w:r>
      <w:r>
        <w:rPr>
          <w:spacing w:val="40"/>
        </w:rPr>
        <w:t> </w:t>
      </w:r>
      <w:r>
        <w:rPr/>
        <w:t>|</w:t>
      </w:r>
      <w:r>
        <w:rPr>
          <w:spacing w:val="7"/>
        </w:rPr>
        <w:t> </w:t>
      </w:r>
      <w:r>
        <w:rPr/>
        <w:t>PETROCORE</w:t>
      </w:r>
      <w:r>
        <w:rPr>
          <w:spacing w:val="-11"/>
        </w:rPr>
        <w:t> </w:t>
      </w:r>
      <w:r>
        <w:rPr/>
        <w:t>LEGAL</w:t>
      </w:r>
      <w:r>
        <w:rPr>
          <w:spacing w:val="-11"/>
        </w:rPr>
        <w:t> </w:t>
      </w:r>
      <w:r>
        <w:rPr/>
        <w:t>DEPT.</w:t>
      </w:r>
      <w:r>
        <w:rPr>
          <w:spacing w:val="-11"/>
        </w:rPr>
        <w:t> </w:t>
      </w:r>
      <w:r>
        <w:rPr/>
        <w:t>,</w:t>
      </w:r>
      <w:r>
        <w:rPr>
          <w:spacing w:val="-11"/>
        </w:rPr>
        <w:t> </w:t>
      </w:r>
      <w:r>
        <w:rPr/>
        <w:t>HOUSTON,</w:t>
      </w:r>
      <w:r>
        <w:rPr>
          <w:spacing w:val="-11"/>
        </w:rPr>
        <w:t> </w:t>
      </w:r>
      <w:r>
        <w:rPr/>
        <w:t>TX AUGUST 2016 – JANUARY 2020</w:t>
      </w:r>
    </w:p>
    <w:p>
      <w:pPr>
        <w:pStyle w:val="ListParagraph"/>
        <w:numPr>
          <w:ilvl w:val="0"/>
          <w:numId w:val="1"/>
        </w:numPr>
        <w:tabs>
          <w:tab w:pos="877" w:val="left" w:leader="none"/>
        </w:tabs>
        <w:spacing w:line="351" w:lineRule="exact" w:before="168" w:after="0"/>
        <w:ind w:left="877" w:right="0" w:hanging="296"/>
        <w:jc w:val="left"/>
        <w:rPr>
          <w:sz w:val="18"/>
        </w:rPr>
      </w:pPr>
      <w:r>
        <w:rPr>
          <w:w w:val="105"/>
          <w:sz w:val="18"/>
        </w:rPr>
        <w:t>Maintained</w:t>
      </w:r>
      <w:r>
        <w:rPr>
          <w:spacing w:val="-8"/>
          <w:w w:val="105"/>
          <w:sz w:val="18"/>
        </w:rPr>
        <w:t> </w:t>
      </w:r>
      <w:r>
        <w:rPr>
          <w:w w:val="105"/>
          <w:sz w:val="18"/>
        </w:rPr>
        <w:t>compliance</w:t>
      </w:r>
      <w:r>
        <w:rPr>
          <w:spacing w:val="-8"/>
          <w:w w:val="105"/>
          <w:sz w:val="18"/>
        </w:rPr>
        <w:t> </w:t>
      </w:r>
      <w:r>
        <w:rPr>
          <w:w w:val="105"/>
          <w:sz w:val="18"/>
        </w:rPr>
        <w:t>logs</w:t>
      </w:r>
      <w:r>
        <w:rPr>
          <w:spacing w:val="-7"/>
          <w:w w:val="105"/>
          <w:sz w:val="18"/>
        </w:rPr>
        <w:t> </w:t>
      </w:r>
      <w:r>
        <w:rPr>
          <w:w w:val="105"/>
          <w:sz w:val="18"/>
        </w:rPr>
        <w:t>and</w:t>
      </w:r>
      <w:r>
        <w:rPr>
          <w:spacing w:val="-8"/>
          <w:w w:val="105"/>
          <w:sz w:val="18"/>
        </w:rPr>
        <w:t> </w:t>
      </w:r>
      <w:r>
        <w:rPr>
          <w:w w:val="105"/>
          <w:sz w:val="18"/>
        </w:rPr>
        <w:t>reviewed</w:t>
      </w:r>
      <w:r>
        <w:rPr>
          <w:spacing w:val="-8"/>
          <w:w w:val="105"/>
          <w:sz w:val="18"/>
        </w:rPr>
        <w:t> </w:t>
      </w:r>
      <w:r>
        <w:rPr>
          <w:w w:val="105"/>
          <w:sz w:val="18"/>
        </w:rPr>
        <w:t>vendor</w:t>
      </w:r>
      <w:r>
        <w:rPr>
          <w:spacing w:val="-7"/>
          <w:w w:val="105"/>
          <w:sz w:val="18"/>
        </w:rPr>
        <w:t> </w:t>
      </w:r>
      <w:r>
        <w:rPr>
          <w:w w:val="105"/>
          <w:sz w:val="18"/>
        </w:rPr>
        <w:t>contracts</w:t>
      </w:r>
      <w:r>
        <w:rPr>
          <w:spacing w:val="-8"/>
          <w:w w:val="105"/>
          <w:sz w:val="18"/>
        </w:rPr>
        <w:t> </w:t>
      </w:r>
      <w:r>
        <w:rPr>
          <w:w w:val="105"/>
          <w:sz w:val="18"/>
        </w:rPr>
        <w:t>for</w:t>
      </w:r>
      <w:r>
        <w:rPr>
          <w:spacing w:val="-7"/>
          <w:w w:val="105"/>
          <w:sz w:val="18"/>
        </w:rPr>
        <w:t> </w:t>
      </w:r>
      <w:r>
        <w:rPr>
          <w:w w:val="105"/>
          <w:sz w:val="18"/>
        </w:rPr>
        <w:t>regulatory</w:t>
      </w:r>
      <w:r>
        <w:rPr>
          <w:spacing w:val="-8"/>
          <w:w w:val="105"/>
          <w:sz w:val="18"/>
        </w:rPr>
        <w:t> </w:t>
      </w:r>
      <w:r>
        <w:rPr>
          <w:spacing w:val="-2"/>
          <w:w w:val="105"/>
          <w:sz w:val="18"/>
        </w:rPr>
        <w:t>alignment</w:t>
      </w:r>
    </w:p>
    <w:p>
      <w:pPr>
        <w:pStyle w:val="ListParagraph"/>
        <w:numPr>
          <w:ilvl w:val="0"/>
          <w:numId w:val="1"/>
        </w:numPr>
        <w:tabs>
          <w:tab w:pos="877" w:val="left" w:leader="none"/>
        </w:tabs>
        <w:spacing w:line="351" w:lineRule="exact" w:before="0" w:after="0"/>
        <w:ind w:left="877" w:right="0" w:hanging="296"/>
        <w:jc w:val="left"/>
        <w:rPr>
          <w:sz w:val="18"/>
        </w:rPr>
      </w:pPr>
      <w:r>
        <w:rPr>
          <w:w w:val="105"/>
          <w:sz w:val="18"/>
        </w:rPr>
        <w:t>Supported</w:t>
      </w:r>
      <w:r>
        <w:rPr>
          <w:spacing w:val="-10"/>
          <w:w w:val="105"/>
          <w:sz w:val="18"/>
        </w:rPr>
        <w:t> </w:t>
      </w:r>
      <w:r>
        <w:rPr>
          <w:w w:val="105"/>
          <w:sz w:val="18"/>
        </w:rPr>
        <w:t>in-house</w:t>
      </w:r>
      <w:r>
        <w:rPr>
          <w:spacing w:val="-10"/>
          <w:w w:val="105"/>
          <w:sz w:val="18"/>
        </w:rPr>
        <w:t> </w:t>
      </w:r>
      <w:r>
        <w:rPr>
          <w:w w:val="105"/>
          <w:sz w:val="18"/>
        </w:rPr>
        <w:t>counsel</w:t>
      </w:r>
      <w:r>
        <w:rPr>
          <w:spacing w:val="-9"/>
          <w:w w:val="105"/>
          <w:sz w:val="18"/>
        </w:rPr>
        <w:t> </w:t>
      </w:r>
      <w:r>
        <w:rPr>
          <w:w w:val="105"/>
          <w:sz w:val="18"/>
        </w:rPr>
        <w:t>with</w:t>
      </w:r>
      <w:r>
        <w:rPr>
          <w:spacing w:val="-10"/>
          <w:w w:val="105"/>
          <w:sz w:val="18"/>
        </w:rPr>
        <w:t> </w:t>
      </w:r>
      <w:r>
        <w:rPr>
          <w:w w:val="105"/>
          <w:sz w:val="18"/>
        </w:rPr>
        <w:t>documentation</w:t>
      </w:r>
      <w:r>
        <w:rPr>
          <w:spacing w:val="-10"/>
          <w:w w:val="105"/>
          <w:sz w:val="18"/>
        </w:rPr>
        <w:t> </w:t>
      </w:r>
      <w:r>
        <w:rPr>
          <w:w w:val="105"/>
          <w:sz w:val="18"/>
        </w:rPr>
        <w:t>for</w:t>
      </w:r>
      <w:r>
        <w:rPr>
          <w:spacing w:val="-9"/>
          <w:w w:val="105"/>
          <w:sz w:val="18"/>
        </w:rPr>
        <w:t> </w:t>
      </w:r>
      <w:r>
        <w:rPr>
          <w:w w:val="105"/>
          <w:sz w:val="18"/>
        </w:rPr>
        <w:t>audits</w:t>
      </w:r>
      <w:r>
        <w:rPr>
          <w:spacing w:val="-10"/>
          <w:w w:val="105"/>
          <w:sz w:val="18"/>
        </w:rPr>
        <w:t> </w:t>
      </w:r>
      <w:r>
        <w:rPr>
          <w:w w:val="105"/>
          <w:sz w:val="18"/>
        </w:rPr>
        <w:t>and</w:t>
      </w:r>
      <w:r>
        <w:rPr>
          <w:spacing w:val="-10"/>
          <w:w w:val="105"/>
          <w:sz w:val="18"/>
        </w:rPr>
        <w:t> </w:t>
      </w:r>
      <w:r>
        <w:rPr>
          <w:w w:val="105"/>
          <w:sz w:val="18"/>
        </w:rPr>
        <w:t>risk</w:t>
      </w:r>
      <w:r>
        <w:rPr>
          <w:spacing w:val="-9"/>
          <w:w w:val="105"/>
          <w:sz w:val="18"/>
        </w:rPr>
        <w:t> </w:t>
      </w:r>
      <w:r>
        <w:rPr>
          <w:spacing w:val="-2"/>
          <w:w w:val="105"/>
          <w:sz w:val="18"/>
        </w:rPr>
        <w:t>assessments</w:t>
      </w:r>
    </w:p>
    <w:p>
      <w:pPr>
        <w:pStyle w:val="Heading1"/>
        <w:spacing w:before="267"/>
      </w:pPr>
      <w:r>
        <w:rPr>
          <w:color w:val="080808"/>
          <w:spacing w:val="-2"/>
        </w:rPr>
        <w:t>Education</w:t>
      </w:r>
    </w:p>
    <w:p>
      <w:pPr>
        <w:pStyle w:val="BodyText"/>
        <w:spacing w:line="278" w:lineRule="auto" w:before="267"/>
        <w:ind w:left="358" w:right="2941" w:firstLine="0"/>
      </w:pPr>
      <w:r>
        <w:rPr>
          <w:w w:val="105"/>
        </w:rPr>
        <w:t>Bachelor</w:t>
      </w:r>
      <w:r>
        <w:rPr>
          <w:spacing w:val="-13"/>
          <w:w w:val="105"/>
        </w:rPr>
        <w:t> </w:t>
      </w:r>
      <w:r>
        <w:rPr>
          <w:w w:val="105"/>
        </w:rPr>
        <w:t>of</w:t>
      </w:r>
      <w:r>
        <w:rPr>
          <w:spacing w:val="-13"/>
          <w:w w:val="105"/>
        </w:rPr>
        <w:t> </w:t>
      </w:r>
      <w:r>
        <w:rPr>
          <w:w w:val="105"/>
        </w:rPr>
        <w:t>Science</w:t>
      </w:r>
      <w:r>
        <w:rPr>
          <w:spacing w:val="-13"/>
          <w:w w:val="105"/>
        </w:rPr>
        <w:t> </w:t>
      </w:r>
      <w:r>
        <w:rPr>
          <w:w w:val="105"/>
        </w:rPr>
        <w:t>(B.S.)</w:t>
      </w:r>
      <w:r>
        <w:rPr>
          <w:spacing w:val="-13"/>
          <w:w w:val="105"/>
        </w:rPr>
        <w:t> </w:t>
      </w:r>
      <w:r>
        <w:rPr>
          <w:w w:val="105"/>
        </w:rPr>
        <w:t>in</w:t>
      </w:r>
      <w:r>
        <w:rPr>
          <w:spacing w:val="-13"/>
          <w:w w:val="105"/>
        </w:rPr>
        <w:t> </w:t>
      </w:r>
      <w:r>
        <w:rPr>
          <w:w w:val="105"/>
        </w:rPr>
        <w:t>Business</w:t>
      </w:r>
      <w:r>
        <w:rPr>
          <w:spacing w:val="-13"/>
          <w:w w:val="105"/>
        </w:rPr>
        <w:t> </w:t>
      </w:r>
      <w:r>
        <w:rPr>
          <w:w w:val="105"/>
        </w:rPr>
        <w:t>Administration</w:t>
      </w:r>
      <w:r>
        <w:rPr>
          <w:spacing w:val="6"/>
          <w:w w:val="105"/>
        </w:rPr>
        <w:t> </w:t>
      </w:r>
      <w:r>
        <w:rPr>
          <w:w w:val="105"/>
        </w:rPr>
        <w:t>|</w:t>
      </w:r>
      <w:r>
        <w:rPr>
          <w:spacing w:val="6"/>
          <w:w w:val="105"/>
        </w:rPr>
        <w:t> </w:t>
      </w:r>
      <w:r>
        <w:rPr>
          <w:w w:val="105"/>
        </w:rPr>
        <w:t>University</w:t>
      </w:r>
      <w:r>
        <w:rPr>
          <w:spacing w:val="-13"/>
          <w:w w:val="105"/>
        </w:rPr>
        <w:t> </w:t>
      </w:r>
      <w:r>
        <w:rPr>
          <w:w w:val="105"/>
        </w:rPr>
        <w:t>of</w:t>
      </w:r>
      <w:r>
        <w:rPr>
          <w:spacing w:val="-13"/>
          <w:w w:val="105"/>
        </w:rPr>
        <w:t> </w:t>
      </w:r>
      <w:r>
        <w:rPr>
          <w:w w:val="105"/>
        </w:rPr>
        <w:t>Houston Houston, TX | May 2016</w:t>
      </w:r>
    </w:p>
    <w:p>
      <w:pPr>
        <w:pStyle w:val="BodyText"/>
        <w:spacing w:before="119"/>
        <w:ind w:firstLine="0"/>
      </w:pPr>
    </w:p>
    <w:p>
      <w:pPr>
        <w:pStyle w:val="Heading1"/>
      </w:pPr>
      <w:r>
        <w:rPr>
          <w:color w:val="080808"/>
          <w:spacing w:val="-2"/>
          <w:w w:val="115"/>
        </w:rPr>
        <w:t>Certiications</w:t>
      </w:r>
    </w:p>
    <w:p>
      <w:pPr>
        <w:pStyle w:val="ListParagraph"/>
        <w:numPr>
          <w:ilvl w:val="0"/>
          <w:numId w:val="2"/>
        </w:numPr>
        <w:tabs>
          <w:tab w:pos="654" w:val="left" w:leader="none"/>
        </w:tabs>
        <w:spacing w:line="240" w:lineRule="auto" w:before="180" w:after="0"/>
        <w:ind w:left="654" w:right="0" w:hanging="296"/>
        <w:jc w:val="left"/>
        <w:rPr>
          <w:sz w:val="18"/>
        </w:rPr>
      </w:pPr>
      <w:r>
        <w:rPr>
          <w:sz w:val="18"/>
        </w:rPr>
        <w:t>Certiﬁed</w:t>
      </w:r>
      <w:r>
        <w:rPr>
          <w:spacing w:val="11"/>
          <w:sz w:val="18"/>
        </w:rPr>
        <w:t> </w:t>
      </w:r>
      <w:r>
        <w:rPr>
          <w:sz w:val="18"/>
        </w:rPr>
        <w:t>Compliance</w:t>
      </w:r>
      <w:r>
        <w:rPr>
          <w:spacing w:val="11"/>
          <w:sz w:val="18"/>
        </w:rPr>
        <w:t> </w:t>
      </w:r>
      <w:r>
        <w:rPr>
          <w:sz w:val="18"/>
        </w:rPr>
        <w:t>and</w:t>
      </w:r>
      <w:r>
        <w:rPr>
          <w:spacing w:val="11"/>
          <w:sz w:val="18"/>
        </w:rPr>
        <w:t> </w:t>
      </w:r>
      <w:r>
        <w:rPr>
          <w:sz w:val="18"/>
        </w:rPr>
        <w:t>Ethics</w:t>
      </w:r>
      <w:r>
        <w:rPr>
          <w:spacing w:val="11"/>
          <w:sz w:val="18"/>
        </w:rPr>
        <w:t> </w:t>
      </w:r>
      <w:r>
        <w:rPr>
          <w:sz w:val="18"/>
        </w:rPr>
        <w:t>Professional</w:t>
      </w:r>
      <w:r>
        <w:rPr>
          <w:spacing w:val="11"/>
          <w:sz w:val="18"/>
        </w:rPr>
        <w:t> </w:t>
      </w:r>
      <w:r>
        <w:rPr>
          <w:sz w:val="18"/>
        </w:rPr>
        <w:t>(CCEP)</w:t>
      </w:r>
      <w:r>
        <w:rPr>
          <w:spacing w:val="11"/>
          <w:sz w:val="18"/>
        </w:rPr>
        <w:t> </w:t>
      </w:r>
      <w:r>
        <w:rPr>
          <w:sz w:val="18"/>
        </w:rPr>
        <w:t>|</w:t>
      </w:r>
      <w:r>
        <w:rPr>
          <w:spacing w:val="12"/>
          <w:sz w:val="18"/>
        </w:rPr>
        <w:t> </w:t>
      </w:r>
      <w:r>
        <w:rPr>
          <w:sz w:val="18"/>
        </w:rPr>
        <w:t>SCCE</w:t>
      </w:r>
      <w:r>
        <w:rPr>
          <w:spacing w:val="11"/>
          <w:sz w:val="18"/>
        </w:rPr>
        <w:t> </w:t>
      </w:r>
      <w:r>
        <w:rPr>
          <w:sz w:val="18"/>
        </w:rPr>
        <w:t>|</w:t>
      </w:r>
      <w:r>
        <w:rPr>
          <w:spacing w:val="11"/>
          <w:sz w:val="18"/>
        </w:rPr>
        <w:t> </w:t>
      </w:r>
      <w:r>
        <w:rPr>
          <w:sz w:val="18"/>
        </w:rPr>
        <w:t>October</w:t>
      </w:r>
      <w:r>
        <w:rPr>
          <w:spacing w:val="11"/>
          <w:sz w:val="18"/>
        </w:rPr>
        <w:t> </w:t>
      </w:r>
      <w:r>
        <w:rPr>
          <w:spacing w:val="-4"/>
          <w:sz w:val="18"/>
        </w:rPr>
        <w:t>2018</w:t>
      </w:r>
    </w:p>
    <w:p>
      <w:pPr>
        <w:pStyle w:val="Heading1"/>
        <w:spacing w:before="266"/>
      </w:pPr>
      <w:r>
        <w:rPr>
          <w:color w:val="080808"/>
          <w:spacing w:val="-8"/>
        </w:rPr>
        <w:t>Key</w:t>
      </w:r>
      <w:r>
        <w:rPr>
          <w:color w:val="080808"/>
          <w:spacing w:val="-10"/>
        </w:rPr>
        <w:t> </w:t>
      </w:r>
      <w:r>
        <w:rPr>
          <w:color w:val="080808"/>
          <w:spacing w:val="-2"/>
        </w:rPr>
        <w:t>Skills</w:t>
      </w:r>
    </w:p>
    <w:p>
      <w:pPr>
        <w:spacing w:after="0"/>
        <w:sectPr>
          <w:type w:val="continuous"/>
          <w:pgSz w:w="11920" w:h="16860"/>
          <w:pgMar w:top="0" w:bottom="280" w:left="720" w:right="820"/>
        </w:sectPr>
      </w:pPr>
    </w:p>
    <w:p>
      <w:pPr>
        <w:pStyle w:val="ListParagraph"/>
        <w:numPr>
          <w:ilvl w:val="0"/>
          <w:numId w:val="2"/>
        </w:numPr>
        <w:tabs>
          <w:tab w:pos="654" w:val="left" w:leader="none"/>
        </w:tabs>
        <w:spacing w:line="351" w:lineRule="exact" w:before="180" w:after="0"/>
        <w:ind w:left="654" w:right="0" w:hanging="296"/>
        <w:jc w:val="left"/>
        <w:rPr>
          <w:sz w:val="18"/>
        </w:rPr>
      </w:pPr>
      <w:r>
        <w:rPr/>
        <mc:AlternateContent>
          <mc:Choice Requires="wps">
            <w:drawing>
              <wp:anchor distT="0" distB="0" distL="0" distR="0" allowOverlap="1" layoutInCell="1" locked="0" behindDoc="0" simplePos="0" relativeHeight="15729152">
                <wp:simplePos x="0" y="0"/>
                <wp:positionH relativeFrom="page">
                  <wp:posOffset>0</wp:posOffset>
                </wp:positionH>
                <wp:positionV relativeFrom="page">
                  <wp:posOffset>0</wp:posOffset>
                </wp:positionV>
                <wp:extent cx="7568565" cy="676275"/>
                <wp:effectExtent l="0" t="0" r="0" b="0"/>
                <wp:wrapNone/>
                <wp:docPr id="2" name="Graphic 2"/>
                <wp:cNvGraphicFramePr>
                  <a:graphicFrameLocks/>
                </wp:cNvGraphicFramePr>
                <a:graphic>
                  <a:graphicData uri="http://schemas.microsoft.com/office/word/2010/wordprocessingShape">
                    <wps:wsp>
                      <wps:cNvPr id="2" name="Graphic 2"/>
                      <wps:cNvSpPr/>
                      <wps:spPr>
                        <a:xfrm>
                          <a:off x="0" y="0"/>
                          <a:ext cx="7568565" cy="676275"/>
                        </a:xfrm>
                        <a:custGeom>
                          <a:avLst/>
                          <a:gdLst/>
                          <a:ahLst/>
                          <a:cxnLst/>
                          <a:rect l="l" t="t" r="r" b="b"/>
                          <a:pathLst>
                            <a:path w="7568565" h="676275">
                              <a:moveTo>
                                <a:pt x="7568183" y="676274"/>
                              </a:moveTo>
                              <a:lnTo>
                                <a:pt x="0" y="676274"/>
                              </a:lnTo>
                              <a:lnTo>
                                <a:pt x="0" y="0"/>
                              </a:lnTo>
                              <a:lnTo>
                                <a:pt x="7568183" y="0"/>
                              </a:lnTo>
                              <a:lnTo>
                                <a:pt x="7568183" y="676274"/>
                              </a:lnTo>
                              <a:close/>
                            </a:path>
                          </a:pathLst>
                        </a:custGeom>
                        <a:solidFill>
                          <a:srgbClr val="AA8FB6"/>
                        </a:solidFill>
                      </wps:spPr>
                      <wps:bodyPr wrap="square" lIns="0" tIns="0" rIns="0" bIns="0" rtlCol="0">
                        <a:prstTxWarp prst="textNoShape">
                          <a:avLst/>
                        </a:prstTxWarp>
                        <a:noAutofit/>
                      </wps:bodyPr>
                    </wps:wsp>
                  </a:graphicData>
                </a:graphic>
              </wp:anchor>
            </w:drawing>
          </mc:Choice>
          <mc:Fallback>
            <w:pict>
              <v:rect style="position:absolute;margin-left:0pt;margin-top:.000033pt;width:595.919953pt;height:53.249993pt;mso-position-horizontal-relative:page;mso-position-vertical-relative:page;z-index:15729152" id="docshape2" filled="true" fillcolor="#aa8fb6" stroked="false">
                <v:fill type="solid"/>
                <w10:wrap type="none"/>
              </v:rect>
            </w:pict>
          </mc:Fallback>
        </mc:AlternateContent>
      </w:r>
      <w:r>
        <w:rPr>
          <w:w w:val="105"/>
          <w:sz w:val="18"/>
        </w:rPr>
        <w:t>Audit</w:t>
      </w:r>
      <w:r>
        <w:rPr>
          <w:spacing w:val="-4"/>
          <w:w w:val="105"/>
          <w:sz w:val="18"/>
        </w:rPr>
        <w:t> </w:t>
      </w:r>
      <w:r>
        <w:rPr>
          <w:spacing w:val="-2"/>
          <w:w w:val="105"/>
          <w:sz w:val="18"/>
        </w:rPr>
        <w:t>preparation</w:t>
      </w:r>
    </w:p>
    <w:p>
      <w:pPr>
        <w:pStyle w:val="ListParagraph"/>
        <w:numPr>
          <w:ilvl w:val="0"/>
          <w:numId w:val="2"/>
        </w:numPr>
        <w:tabs>
          <w:tab w:pos="654" w:val="left" w:leader="none"/>
        </w:tabs>
        <w:spacing w:line="345" w:lineRule="exact" w:before="0" w:after="0"/>
        <w:ind w:left="654" w:right="0" w:hanging="296"/>
        <w:jc w:val="left"/>
        <w:rPr>
          <w:sz w:val="18"/>
        </w:rPr>
      </w:pPr>
      <w:r>
        <w:rPr>
          <w:w w:val="105"/>
          <w:sz w:val="18"/>
        </w:rPr>
        <w:t>Contract</w:t>
      </w:r>
      <w:r>
        <w:rPr>
          <w:spacing w:val="-13"/>
          <w:w w:val="105"/>
          <w:sz w:val="18"/>
        </w:rPr>
        <w:t> </w:t>
      </w:r>
      <w:r>
        <w:rPr>
          <w:spacing w:val="-2"/>
          <w:w w:val="105"/>
          <w:sz w:val="18"/>
        </w:rPr>
        <w:t>review</w:t>
      </w:r>
    </w:p>
    <w:p>
      <w:pPr>
        <w:pStyle w:val="ListParagraph"/>
        <w:numPr>
          <w:ilvl w:val="0"/>
          <w:numId w:val="2"/>
        </w:numPr>
        <w:tabs>
          <w:tab w:pos="654" w:val="left" w:leader="none"/>
        </w:tabs>
        <w:spacing w:line="351" w:lineRule="exact" w:before="0" w:after="0"/>
        <w:ind w:left="654" w:right="0" w:hanging="296"/>
        <w:jc w:val="left"/>
        <w:rPr>
          <w:sz w:val="18"/>
        </w:rPr>
      </w:pPr>
      <w:r>
        <w:rPr>
          <w:sz w:val="18"/>
        </w:rPr>
        <w:t>Risk</w:t>
      </w:r>
      <w:r>
        <w:rPr>
          <w:spacing w:val="-2"/>
          <w:sz w:val="18"/>
        </w:rPr>
        <w:t> analysis</w:t>
      </w:r>
    </w:p>
    <w:p>
      <w:pPr>
        <w:pStyle w:val="ListParagraph"/>
        <w:numPr>
          <w:ilvl w:val="0"/>
          <w:numId w:val="2"/>
        </w:numPr>
        <w:tabs>
          <w:tab w:pos="654" w:val="left" w:leader="none"/>
        </w:tabs>
        <w:spacing w:line="351" w:lineRule="exact" w:before="180" w:after="0"/>
        <w:ind w:left="654" w:right="0" w:hanging="296"/>
        <w:jc w:val="left"/>
        <w:rPr>
          <w:sz w:val="18"/>
        </w:rPr>
      </w:pPr>
      <w:r>
        <w:rPr/>
        <w:br w:type="column"/>
      </w:r>
      <w:r>
        <w:rPr>
          <w:w w:val="105"/>
          <w:sz w:val="18"/>
        </w:rPr>
        <w:t>Compliance</w:t>
      </w:r>
      <w:r>
        <w:rPr>
          <w:spacing w:val="-10"/>
          <w:w w:val="105"/>
          <w:sz w:val="18"/>
        </w:rPr>
        <w:t> </w:t>
      </w:r>
      <w:r>
        <w:rPr>
          <w:spacing w:val="-2"/>
          <w:w w:val="105"/>
          <w:sz w:val="18"/>
        </w:rPr>
        <w:t>reporting</w:t>
      </w:r>
    </w:p>
    <w:p>
      <w:pPr>
        <w:pStyle w:val="ListParagraph"/>
        <w:numPr>
          <w:ilvl w:val="0"/>
          <w:numId w:val="2"/>
        </w:numPr>
        <w:tabs>
          <w:tab w:pos="654" w:val="left" w:leader="none"/>
        </w:tabs>
        <w:spacing w:line="351" w:lineRule="exact" w:before="0" w:after="0"/>
        <w:ind w:left="654" w:right="0" w:hanging="296"/>
        <w:jc w:val="left"/>
        <w:rPr>
          <w:sz w:val="18"/>
        </w:rPr>
      </w:pPr>
      <w:r>
        <w:rPr>
          <w:w w:val="105"/>
          <w:sz w:val="18"/>
        </w:rPr>
        <w:t>Internal</w:t>
      </w:r>
      <w:r>
        <w:rPr>
          <w:spacing w:val="-7"/>
          <w:w w:val="105"/>
          <w:sz w:val="18"/>
        </w:rPr>
        <w:t> </w:t>
      </w:r>
      <w:r>
        <w:rPr>
          <w:w w:val="105"/>
          <w:sz w:val="18"/>
        </w:rPr>
        <w:t>policy</w:t>
      </w:r>
      <w:r>
        <w:rPr>
          <w:spacing w:val="-6"/>
          <w:w w:val="105"/>
          <w:sz w:val="18"/>
        </w:rPr>
        <w:t> </w:t>
      </w:r>
      <w:r>
        <w:rPr>
          <w:spacing w:val="-2"/>
          <w:w w:val="105"/>
          <w:sz w:val="18"/>
        </w:rPr>
        <w:t>tracking</w:t>
      </w:r>
    </w:p>
    <w:sectPr>
      <w:type w:val="continuous"/>
      <w:pgSz w:w="11920" w:h="16860"/>
      <w:pgMar w:top="0" w:bottom="280" w:left="720" w:right="820"/>
      <w:cols w:num="2" w:equalWidth="0">
        <w:col w:w="2139" w:space="2948"/>
        <w:col w:w="5293"/>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Microsoft Sans Serif">
    <w:altName w:val="Microsoft Sans Serif"/>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655" w:hanging="298"/>
      </w:pPr>
      <w:rPr>
        <w:rFonts w:hint="default" w:ascii="Arial" w:hAnsi="Arial" w:eastAsia="Arial" w:cs="Arial"/>
        <w:b w:val="0"/>
        <w:bCs w:val="0"/>
        <w:i w:val="0"/>
        <w:iCs w:val="0"/>
        <w:spacing w:val="0"/>
        <w:w w:val="102"/>
        <w:position w:val="-4"/>
        <w:sz w:val="31"/>
        <w:szCs w:val="31"/>
        <w:lang w:val="en-US" w:eastAsia="en-US" w:bidi="ar-SA"/>
      </w:rPr>
    </w:lvl>
    <w:lvl w:ilvl="1">
      <w:start w:val="0"/>
      <w:numFmt w:val="bullet"/>
      <w:lvlText w:val="•"/>
      <w:lvlJc w:val="left"/>
      <w:pPr>
        <w:ind w:left="1631" w:hanging="298"/>
      </w:pPr>
      <w:rPr>
        <w:rFonts w:hint="default"/>
        <w:lang w:val="en-US" w:eastAsia="en-US" w:bidi="ar-SA"/>
      </w:rPr>
    </w:lvl>
    <w:lvl w:ilvl="2">
      <w:start w:val="0"/>
      <w:numFmt w:val="bullet"/>
      <w:lvlText w:val="•"/>
      <w:lvlJc w:val="left"/>
      <w:pPr>
        <w:ind w:left="2603" w:hanging="298"/>
      </w:pPr>
      <w:rPr>
        <w:rFonts w:hint="default"/>
        <w:lang w:val="en-US" w:eastAsia="en-US" w:bidi="ar-SA"/>
      </w:rPr>
    </w:lvl>
    <w:lvl w:ilvl="3">
      <w:start w:val="0"/>
      <w:numFmt w:val="bullet"/>
      <w:lvlText w:val="•"/>
      <w:lvlJc w:val="left"/>
      <w:pPr>
        <w:ind w:left="3575" w:hanging="298"/>
      </w:pPr>
      <w:rPr>
        <w:rFonts w:hint="default"/>
        <w:lang w:val="en-US" w:eastAsia="en-US" w:bidi="ar-SA"/>
      </w:rPr>
    </w:lvl>
    <w:lvl w:ilvl="4">
      <w:start w:val="0"/>
      <w:numFmt w:val="bullet"/>
      <w:lvlText w:val="•"/>
      <w:lvlJc w:val="left"/>
      <w:pPr>
        <w:ind w:left="4547" w:hanging="298"/>
      </w:pPr>
      <w:rPr>
        <w:rFonts w:hint="default"/>
        <w:lang w:val="en-US" w:eastAsia="en-US" w:bidi="ar-SA"/>
      </w:rPr>
    </w:lvl>
    <w:lvl w:ilvl="5">
      <w:start w:val="0"/>
      <w:numFmt w:val="bullet"/>
      <w:lvlText w:val="•"/>
      <w:lvlJc w:val="left"/>
      <w:pPr>
        <w:ind w:left="5519" w:hanging="298"/>
      </w:pPr>
      <w:rPr>
        <w:rFonts w:hint="default"/>
        <w:lang w:val="en-US" w:eastAsia="en-US" w:bidi="ar-SA"/>
      </w:rPr>
    </w:lvl>
    <w:lvl w:ilvl="6">
      <w:start w:val="0"/>
      <w:numFmt w:val="bullet"/>
      <w:lvlText w:val="•"/>
      <w:lvlJc w:val="left"/>
      <w:pPr>
        <w:ind w:left="6491" w:hanging="298"/>
      </w:pPr>
      <w:rPr>
        <w:rFonts w:hint="default"/>
        <w:lang w:val="en-US" w:eastAsia="en-US" w:bidi="ar-SA"/>
      </w:rPr>
    </w:lvl>
    <w:lvl w:ilvl="7">
      <w:start w:val="0"/>
      <w:numFmt w:val="bullet"/>
      <w:lvlText w:val="•"/>
      <w:lvlJc w:val="left"/>
      <w:pPr>
        <w:ind w:left="7462" w:hanging="298"/>
      </w:pPr>
      <w:rPr>
        <w:rFonts w:hint="default"/>
        <w:lang w:val="en-US" w:eastAsia="en-US" w:bidi="ar-SA"/>
      </w:rPr>
    </w:lvl>
    <w:lvl w:ilvl="8">
      <w:start w:val="0"/>
      <w:numFmt w:val="bullet"/>
      <w:lvlText w:val="•"/>
      <w:lvlJc w:val="left"/>
      <w:pPr>
        <w:ind w:left="8434" w:hanging="298"/>
      </w:pPr>
      <w:rPr>
        <w:rFonts w:hint="default"/>
        <w:lang w:val="en-US" w:eastAsia="en-US" w:bidi="ar-SA"/>
      </w:rPr>
    </w:lvl>
  </w:abstractNum>
  <w:abstractNum w:abstractNumId="0">
    <w:multiLevelType w:val="hybridMultilevel"/>
    <w:lvl w:ilvl="0">
      <w:start w:val="0"/>
      <w:numFmt w:val="bullet"/>
      <w:lvlText w:val="•"/>
      <w:lvlJc w:val="left"/>
      <w:pPr>
        <w:ind w:left="878" w:hanging="298"/>
      </w:pPr>
      <w:rPr>
        <w:rFonts w:hint="default" w:ascii="Arial" w:hAnsi="Arial" w:eastAsia="Arial" w:cs="Arial"/>
        <w:b w:val="0"/>
        <w:bCs w:val="0"/>
        <w:i w:val="0"/>
        <w:iCs w:val="0"/>
        <w:spacing w:val="0"/>
        <w:w w:val="102"/>
        <w:position w:val="-4"/>
        <w:sz w:val="31"/>
        <w:szCs w:val="31"/>
        <w:lang w:val="en-US" w:eastAsia="en-US" w:bidi="ar-SA"/>
      </w:rPr>
    </w:lvl>
    <w:lvl w:ilvl="1">
      <w:start w:val="0"/>
      <w:numFmt w:val="bullet"/>
      <w:lvlText w:val="•"/>
      <w:lvlJc w:val="left"/>
      <w:pPr>
        <w:ind w:left="1829" w:hanging="298"/>
      </w:pPr>
      <w:rPr>
        <w:rFonts w:hint="default"/>
        <w:lang w:val="en-US" w:eastAsia="en-US" w:bidi="ar-SA"/>
      </w:rPr>
    </w:lvl>
    <w:lvl w:ilvl="2">
      <w:start w:val="0"/>
      <w:numFmt w:val="bullet"/>
      <w:lvlText w:val="•"/>
      <w:lvlJc w:val="left"/>
      <w:pPr>
        <w:ind w:left="2779" w:hanging="298"/>
      </w:pPr>
      <w:rPr>
        <w:rFonts w:hint="default"/>
        <w:lang w:val="en-US" w:eastAsia="en-US" w:bidi="ar-SA"/>
      </w:rPr>
    </w:lvl>
    <w:lvl w:ilvl="3">
      <w:start w:val="0"/>
      <w:numFmt w:val="bullet"/>
      <w:lvlText w:val="•"/>
      <w:lvlJc w:val="left"/>
      <w:pPr>
        <w:ind w:left="3729" w:hanging="298"/>
      </w:pPr>
      <w:rPr>
        <w:rFonts w:hint="default"/>
        <w:lang w:val="en-US" w:eastAsia="en-US" w:bidi="ar-SA"/>
      </w:rPr>
    </w:lvl>
    <w:lvl w:ilvl="4">
      <w:start w:val="0"/>
      <w:numFmt w:val="bullet"/>
      <w:lvlText w:val="•"/>
      <w:lvlJc w:val="left"/>
      <w:pPr>
        <w:ind w:left="4679" w:hanging="298"/>
      </w:pPr>
      <w:rPr>
        <w:rFonts w:hint="default"/>
        <w:lang w:val="en-US" w:eastAsia="en-US" w:bidi="ar-SA"/>
      </w:rPr>
    </w:lvl>
    <w:lvl w:ilvl="5">
      <w:start w:val="0"/>
      <w:numFmt w:val="bullet"/>
      <w:lvlText w:val="•"/>
      <w:lvlJc w:val="left"/>
      <w:pPr>
        <w:ind w:left="5629" w:hanging="298"/>
      </w:pPr>
      <w:rPr>
        <w:rFonts w:hint="default"/>
        <w:lang w:val="en-US" w:eastAsia="en-US" w:bidi="ar-SA"/>
      </w:rPr>
    </w:lvl>
    <w:lvl w:ilvl="6">
      <w:start w:val="0"/>
      <w:numFmt w:val="bullet"/>
      <w:lvlText w:val="•"/>
      <w:lvlJc w:val="left"/>
      <w:pPr>
        <w:ind w:left="6579" w:hanging="298"/>
      </w:pPr>
      <w:rPr>
        <w:rFonts w:hint="default"/>
        <w:lang w:val="en-US" w:eastAsia="en-US" w:bidi="ar-SA"/>
      </w:rPr>
    </w:lvl>
    <w:lvl w:ilvl="7">
      <w:start w:val="0"/>
      <w:numFmt w:val="bullet"/>
      <w:lvlText w:val="•"/>
      <w:lvlJc w:val="left"/>
      <w:pPr>
        <w:ind w:left="7528" w:hanging="298"/>
      </w:pPr>
      <w:rPr>
        <w:rFonts w:hint="default"/>
        <w:lang w:val="en-US" w:eastAsia="en-US" w:bidi="ar-SA"/>
      </w:rPr>
    </w:lvl>
    <w:lvl w:ilvl="8">
      <w:start w:val="0"/>
      <w:numFmt w:val="bullet"/>
      <w:lvlText w:val="•"/>
      <w:lvlJc w:val="left"/>
      <w:pPr>
        <w:ind w:left="8478" w:hanging="298"/>
      </w:pPr>
      <w:rPr>
        <w:rFonts w:hint="default"/>
        <w:lang w:val="en-US" w:eastAsia="en-US" w:bidi="ar-SA"/>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ind w:hanging="296"/>
    </w:pPr>
    <w:rPr>
      <w:rFonts w:ascii="Arial" w:hAnsi="Arial" w:eastAsia="Arial" w:cs="Arial"/>
      <w:sz w:val="18"/>
      <w:szCs w:val="18"/>
      <w:lang w:val="en-US" w:eastAsia="en-US" w:bidi="ar-SA"/>
    </w:rPr>
  </w:style>
  <w:style w:styleId="Heading1" w:type="paragraph">
    <w:name w:val="Heading 1"/>
    <w:basedOn w:val="Normal"/>
    <w:uiPriority w:val="1"/>
    <w:qFormat/>
    <w:pPr>
      <w:ind w:left="153"/>
      <w:outlineLvl w:val="1"/>
    </w:pPr>
    <w:rPr>
      <w:rFonts w:ascii="Arial" w:hAnsi="Arial" w:eastAsia="Arial" w:cs="Arial"/>
      <w:b/>
      <w:bCs/>
      <w:sz w:val="28"/>
      <w:szCs w:val="28"/>
      <w:lang w:val="en-US" w:eastAsia="en-US" w:bidi="ar-SA"/>
    </w:rPr>
  </w:style>
  <w:style w:styleId="Title" w:type="paragraph">
    <w:name w:val="Title"/>
    <w:basedOn w:val="Normal"/>
    <w:uiPriority w:val="1"/>
    <w:qFormat/>
    <w:pPr>
      <w:spacing w:before="176"/>
      <w:ind w:left="3877"/>
    </w:pPr>
    <w:rPr>
      <w:rFonts w:ascii="Microsoft Sans Serif" w:hAnsi="Microsoft Sans Serif" w:eastAsia="Microsoft Sans Serif" w:cs="Microsoft Sans Serif"/>
      <w:sz w:val="29"/>
      <w:szCs w:val="29"/>
      <w:lang w:val="en-US" w:eastAsia="en-US" w:bidi="ar-SA"/>
    </w:rPr>
  </w:style>
  <w:style w:styleId="ListParagraph" w:type="paragraph">
    <w:name w:val="List Paragraph"/>
    <w:basedOn w:val="Normal"/>
    <w:uiPriority w:val="1"/>
    <w:qFormat/>
    <w:pPr>
      <w:spacing w:line="351" w:lineRule="exact"/>
      <w:ind w:left="654" w:hanging="296"/>
    </w:pPr>
    <w:rPr>
      <w:rFonts w:ascii="Arial" w:hAnsi="Arial" w:eastAsia="Arial" w:cs="Arial"/>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drew.thompson@email.com" TargetMode="Externa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2025-09-15T17:50:01Z</dcterms:created>
  <dcterms:modified xsi:type="dcterms:W3CDTF">2025-09-15T17:50:01Z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2025-09-15T00:00:00Z</vt:filetime>
  </property>
  <property fmtid="{D5CDD505-2E9C-101B-9397-08002B2CF9AE}" pid="3" name="Creator">
    <vt:lpwstr>Chromium</vt:lpwstr>
  </property>
  <property fmtid="{D5CDD505-2E9C-101B-9397-08002B2CF9AE}" pid="4" name="LastSaved">
    <vt:filetime>2025-09-15T00:00:00Z</vt:filetime>
  </property>
  <property fmtid="{D5CDD505-2E9C-101B-9397-08002B2CF9AE}" pid="5" name="Producer">
    <vt:lpwstr>Skia/PDF m121</vt:lpwstr>
  </property>
</Properties>
</file>