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50505"/>
          <w:spacing w:val="8"/>
        </w:rPr>
        <w:t>Stephanie</w:t>
      </w:r>
    </w:p>
    <w:p>
      <w:pPr>
        <w:spacing w:before="60"/>
        <w:ind w:left="5764" w:right="0" w:firstLine="0"/>
        <w:jc w:val="left"/>
        <w:rPr>
          <w:rFonts w:ascii="Microsoft Sans Serif"/>
          <w:sz w:val="82"/>
        </w:rPr>
      </w:pPr>
      <w:r>
        <w:rPr>
          <w:rFonts w:ascii="Microsoft Sans Serif"/>
          <w:color w:val="050505"/>
          <w:spacing w:val="10"/>
          <w:sz w:val="82"/>
        </w:rPr>
        <w:t>Thompson</w:t>
      </w:r>
    </w:p>
    <w:p>
      <w:pPr>
        <w:pStyle w:val="BodyText"/>
        <w:spacing w:before="220"/>
        <w:rPr>
          <w:rFonts w:ascii="Microsoft Sans Serif"/>
          <w:sz w:val="26"/>
        </w:rPr>
      </w:pPr>
    </w:p>
    <w:p>
      <w:pPr>
        <w:pStyle w:val="Heading1"/>
        <w:ind w:left="0" w:right="927"/>
        <w:jc w:val="center"/>
      </w:pPr>
      <w:r>
        <w:rPr>
          <w:color w:val="050505"/>
        </w:rPr>
        <w:t>A</w:t>
      </w:r>
      <w:r>
        <w:rPr>
          <w:color w:val="050505"/>
          <w:spacing w:val="-37"/>
        </w:rPr>
        <w:t> </w:t>
      </w:r>
      <w:r>
        <w:rPr>
          <w:color w:val="050505"/>
        </w:rPr>
        <w:t>B</w:t>
      </w:r>
      <w:r>
        <w:rPr>
          <w:color w:val="050505"/>
          <w:spacing w:val="-36"/>
        </w:rPr>
        <w:t> </w:t>
      </w:r>
      <w:r>
        <w:rPr>
          <w:color w:val="050505"/>
        </w:rPr>
        <w:t>O</w:t>
      </w:r>
      <w:r>
        <w:rPr>
          <w:color w:val="050505"/>
          <w:spacing w:val="-36"/>
        </w:rPr>
        <w:t> </w:t>
      </w:r>
      <w:r>
        <w:rPr>
          <w:color w:val="050505"/>
        </w:rPr>
        <w:t>U</w:t>
      </w:r>
      <w:r>
        <w:rPr>
          <w:color w:val="050505"/>
          <w:spacing w:val="-36"/>
        </w:rPr>
        <w:t> </w:t>
      </w:r>
      <w:r>
        <w:rPr>
          <w:color w:val="050505"/>
        </w:rPr>
        <w:t>T</w:t>
      </w:r>
      <w:r>
        <w:rPr>
          <w:color w:val="050505"/>
          <w:spacing w:val="62"/>
        </w:rPr>
        <w:t> </w:t>
      </w:r>
      <w:r>
        <w:rPr>
          <w:color w:val="050505"/>
        </w:rPr>
        <w:t>M</w:t>
      </w:r>
      <w:r>
        <w:rPr>
          <w:color w:val="050505"/>
          <w:spacing w:val="-36"/>
        </w:rPr>
        <w:t> </w:t>
      </w:r>
      <w:r>
        <w:rPr>
          <w:color w:val="050505"/>
          <w:spacing w:val="-10"/>
        </w:rPr>
        <w:t>E</w:t>
      </w:r>
    </w:p>
    <w:p>
      <w:pPr>
        <w:spacing w:after="0"/>
        <w:jc w:val="center"/>
        <w:sectPr>
          <w:type w:val="continuous"/>
          <w:pgSz w:w="11920" w:h="16860"/>
          <w:pgMar w:top="940" w:bottom="280" w:left="420" w:right="26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83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32"/>
        <w:rPr>
          <w:b/>
          <w:sz w:val="26"/>
        </w:rPr>
      </w:pPr>
    </w:p>
    <w:p>
      <w:pPr>
        <w:spacing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171"/>
        <w:rPr>
          <w:sz w:val="18"/>
        </w:rPr>
      </w:pPr>
    </w:p>
    <w:p>
      <w:pPr>
        <w:spacing w:line="153" w:lineRule="exact" w:before="0"/>
        <w:ind w:left="97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line="292" w:lineRule="auto" w:before="170"/>
        <w:ind w:left="100"/>
      </w:pPr>
      <w:r>
        <w:rPr/>
        <w:br w:type="column"/>
      </w:r>
      <w:r>
        <w:rPr>
          <w:w w:val="105"/>
        </w:rPr>
        <w:t>Global</w:t>
      </w:r>
      <w:r>
        <w:rPr>
          <w:spacing w:val="35"/>
          <w:w w:val="105"/>
        </w:rPr>
        <w:t> </w:t>
      </w:r>
      <w:r>
        <w:rPr>
          <w:w w:val="105"/>
        </w:rPr>
        <w:t>program</w:t>
      </w:r>
      <w:r>
        <w:rPr>
          <w:spacing w:val="35"/>
          <w:w w:val="105"/>
        </w:rPr>
        <w:t> </w:t>
      </w:r>
      <w:r>
        <w:rPr>
          <w:w w:val="105"/>
        </w:rPr>
        <w:t>manager</w:t>
      </w:r>
      <w:r>
        <w:rPr>
          <w:spacing w:val="35"/>
          <w:w w:val="105"/>
        </w:rPr>
        <w:t> </w:t>
      </w:r>
      <w:r>
        <w:rPr>
          <w:w w:val="105"/>
        </w:rPr>
        <w:t>with</w:t>
      </w:r>
      <w:r>
        <w:rPr>
          <w:spacing w:val="35"/>
          <w:w w:val="105"/>
        </w:rPr>
        <w:t> </w:t>
      </w:r>
      <w:r>
        <w:rPr>
          <w:w w:val="105"/>
        </w:rPr>
        <w:t>eight</w:t>
      </w:r>
      <w:r>
        <w:rPr>
          <w:spacing w:val="35"/>
          <w:w w:val="105"/>
        </w:rPr>
        <w:t> </w:t>
      </w:r>
      <w:r>
        <w:rPr>
          <w:w w:val="105"/>
        </w:rPr>
        <w:t>years</w:t>
      </w:r>
      <w:r>
        <w:rPr>
          <w:spacing w:val="35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experience</w:t>
      </w:r>
      <w:r>
        <w:rPr>
          <w:spacing w:val="35"/>
          <w:w w:val="105"/>
        </w:rPr>
        <w:t> </w:t>
      </w:r>
      <w:r>
        <w:rPr>
          <w:w w:val="105"/>
        </w:rPr>
        <w:t>leading</w:t>
      </w:r>
      <w:r>
        <w:rPr>
          <w:spacing w:val="35"/>
          <w:w w:val="105"/>
        </w:rPr>
        <w:t> </w:t>
      </w:r>
      <w:r>
        <w:rPr>
          <w:w w:val="105"/>
        </w:rPr>
        <w:t>international</w:t>
      </w:r>
      <w:r>
        <w:rPr>
          <w:spacing w:val="35"/>
          <w:w w:val="105"/>
        </w:rPr>
        <w:t> </w:t>
      </w:r>
      <w:r>
        <w:rPr>
          <w:w w:val="105"/>
        </w:rPr>
        <w:t>product- launch</w:t>
      </w:r>
      <w:r>
        <w:rPr>
          <w:spacing w:val="40"/>
          <w:w w:val="105"/>
        </w:rPr>
        <w:t> </w:t>
      </w:r>
      <w:r>
        <w:rPr>
          <w:w w:val="105"/>
        </w:rPr>
        <w:t>programs.</w:t>
      </w:r>
      <w:r>
        <w:rPr>
          <w:spacing w:val="40"/>
          <w:w w:val="105"/>
        </w:rPr>
        <w:t> </w:t>
      </w:r>
      <w:r>
        <w:rPr>
          <w:w w:val="105"/>
        </w:rPr>
        <w:t>Adept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cross-cultural</w:t>
      </w:r>
      <w:r>
        <w:rPr>
          <w:spacing w:val="40"/>
          <w:w w:val="105"/>
        </w:rPr>
        <w:t> </w:t>
      </w:r>
      <w:r>
        <w:rPr>
          <w:w w:val="105"/>
        </w:rPr>
        <w:t>stakeholder</w:t>
      </w:r>
      <w:r>
        <w:rPr>
          <w:spacing w:val="40"/>
          <w:w w:val="105"/>
        </w:rPr>
        <w:t> </w:t>
      </w:r>
      <w:r>
        <w:rPr>
          <w:w w:val="105"/>
        </w:rPr>
        <w:t>management,</w:t>
      </w:r>
      <w:r>
        <w:rPr>
          <w:spacing w:val="40"/>
          <w:w w:val="105"/>
        </w:rPr>
        <w:t> </w:t>
      </w:r>
      <w:r>
        <w:rPr>
          <w:w w:val="105"/>
        </w:rPr>
        <w:t>regulatory compliance, and global rollout strategies.</w:t>
      </w:r>
    </w:p>
    <w:p>
      <w:pPr>
        <w:pStyle w:val="BodyText"/>
        <w:spacing w:before="68"/>
      </w:pPr>
    </w:p>
    <w:p>
      <w:pPr>
        <w:pStyle w:val="Heading1"/>
        <w:spacing w:before="1"/>
      </w:pPr>
      <w:r>
        <w:rPr>
          <w:color w:val="050505"/>
          <w:spacing w:val="-6"/>
        </w:rPr>
        <w:t>P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R</w:t>
      </w:r>
      <w:r>
        <w:rPr>
          <w:color w:val="050505"/>
          <w:spacing w:val="-40"/>
        </w:rPr>
        <w:t> </w:t>
      </w:r>
      <w:r>
        <w:rPr>
          <w:color w:val="050505"/>
          <w:spacing w:val="-6"/>
        </w:rPr>
        <w:t>O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F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E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S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S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I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O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N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A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L</w:t>
      </w:r>
      <w:r>
        <w:rPr>
          <w:color w:val="050505"/>
          <w:spacing w:val="28"/>
        </w:rPr>
        <w:t> </w:t>
      </w:r>
      <w:r>
        <w:rPr>
          <w:color w:val="050505"/>
          <w:spacing w:val="-6"/>
        </w:rPr>
        <w:t>E</w:t>
      </w:r>
      <w:r>
        <w:rPr>
          <w:color w:val="050505"/>
          <w:spacing w:val="-30"/>
        </w:rPr>
        <w:t> </w:t>
      </w:r>
      <w:r>
        <w:rPr>
          <w:color w:val="050505"/>
          <w:spacing w:val="-6"/>
        </w:rPr>
        <w:t>X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P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E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R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I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E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N</w:t>
      </w:r>
      <w:r>
        <w:rPr>
          <w:color w:val="050505"/>
          <w:spacing w:val="-36"/>
        </w:rPr>
        <w:t> </w:t>
      </w:r>
      <w:r>
        <w:rPr>
          <w:color w:val="050505"/>
          <w:spacing w:val="-6"/>
        </w:rPr>
        <w:t>C</w:t>
      </w:r>
      <w:r>
        <w:rPr>
          <w:color w:val="050505"/>
          <w:spacing w:val="-36"/>
        </w:rPr>
        <w:t> </w:t>
      </w:r>
      <w:r>
        <w:rPr>
          <w:color w:val="050505"/>
          <w:spacing w:val="-10"/>
        </w:rPr>
        <w:t>E</w:t>
      </w:r>
    </w:p>
    <w:p>
      <w:pPr>
        <w:spacing w:before="166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Global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MedDevice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Corp.,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Chicago,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60"/>
          <w:cols w:num="2" w:equalWidth="0">
            <w:col w:w="2813" w:space="1428"/>
            <w:col w:w="6999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33"/>
        <w:rPr>
          <w:sz w:val="18"/>
        </w:rPr>
      </w:pPr>
    </w:p>
    <w:p>
      <w:pPr>
        <w:spacing w:before="1"/>
        <w:ind w:left="97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spacing w:before="185"/>
        <w:rPr>
          <w:sz w:val="18"/>
        </w:rPr>
      </w:pPr>
    </w:p>
    <w:p>
      <w:pPr>
        <w:spacing w:before="1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Chicago,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IL</w:t>
      </w:r>
      <w:r>
        <w:rPr>
          <w:color w:val="FFFFFF"/>
          <w:spacing w:val="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60606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37" w:after="0"/>
        <w:ind w:left="1272" w:right="191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Coordinate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simultaneous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launches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15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countries,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regulatory approvals and localization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336" w:lineRule="exact" w:before="70" w:after="0"/>
        <w:ind w:left="1270" w:right="0" w:hanging="296"/>
        <w:jc w:val="left"/>
        <w:rPr>
          <w:sz w:val="16"/>
        </w:rPr>
      </w:pPr>
      <w:r>
        <w:rPr>
          <w:w w:val="105"/>
          <w:sz w:val="16"/>
        </w:rPr>
        <w:t>Standardize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launch-readiness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processes,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time-to-market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8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21" w:after="0"/>
        <w:ind w:left="1272" w:right="116" w:hanging="298"/>
        <w:jc w:val="left"/>
        <w:rPr>
          <w:sz w:val="16"/>
        </w:rPr>
      </w:pPr>
      <w:r>
        <w:rPr>
          <w:w w:val="105"/>
          <w:sz w:val="16"/>
        </w:rPr>
        <w:t>Lead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30-member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cross-functional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launch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spanning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R&amp;D,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marketing,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 regulatory affairs</w:t>
      </w:r>
    </w:p>
    <w:p>
      <w:pPr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40" w:bottom="280" w:left="420" w:right="260"/>
          <w:cols w:num="2" w:equalWidth="0">
            <w:col w:w="2577" w:space="1013"/>
            <w:col w:w="7650"/>
          </w:cols>
        </w:sectPr>
      </w:pPr>
    </w:p>
    <w:p>
      <w:pPr>
        <w:pStyle w:val="BodyText"/>
        <w:spacing w:before="9"/>
      </w:pPr>
    </w:p>
    <w:p>
      <w:pPr>
        <w:spacing w:after="0"/>
        <w:sectPr>
          <w:type w:val="continuous"/>
          <w:pgSz w:w="11920" w:h="16860"/>
          <w:pgMar w:top="940" w:bottom="280" w:left="420" w:right="260"/>
        </w:sectPr>
      </w:pPr>
    </w:p>
    <w:p>
      <w:pPr>
        <w:pStyle w:val="Heading1"/>
        <w:spacing w:before="164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before="196"/>
      </w:pPr>
      <w:r>
        <w:rPr>
          <w:color w:val="FFFFFF"/>
          <w:w w:val="105"/>
        </w:rPr>
        <w:t>M.B.A.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International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Business</w:t>
      </w:r>
    </w:p>
    <w:p>
      <w:pPr>
        <w:pStyle w:val="BodyText"/>
        <w:spacing w:before="81"/>
        <w:rPr>
          <w:b/>
          <w:sz w:val="18"/>
        </w:rPr>
      </w:pPr>
    </w:p>
    <w:p>
      <w:pPr>
        <w:spacing w:line="295" w:lineRule="auto" w:before="1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Chicago Booth School of Business, Chicago, IL</w:t>
      </w:r>
    </w:p>
    <w:p>
      <w:pPr>
        <w:spacing w:line="193" w:lineRule="exact"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2014</w:t>
      </w:r>
    </w:p>
    <w:p>
      <w:pPr>
        <w:pStyle w:val="BodyText"/>
        <w:spacing w:before="35"/>
        <w:rPr>
          <w:sz w:val="18"/>
        </w:rPr>
      </w:pPr>
    </w:p>
    <w:p>
      <w:pPr>
        <w:pStyle w:val="Heading2"/>
      </w:pPr>
      <w:r>
        <w:rPr>
          <w:color w:val="FFFFFF"/>
          <w:w w:val="105"/>
        </w:rPr>
        <w:t>B.S.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Biomedical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Engineering</w:t>
      </w:r>
    </w:p>
    <w:p>
      <w:pPr>
        <w:pStyle w:val="BodyText"/>
        <w:spacing w:before="80"/>
        <w:rPr>
          <w:b/>
          <w:sz w:val="18"/>
        </w:rPr>
      </w:pPr>
    </w:p>
    <w:p>
      <w:pPr>
        <w:spacing w:line="288" w:lineRule="auto" w:before="1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Illinois at Urbana- Champaign, Urbana-Champaign, IL May 2010</w:t>
      </w:r>
    </w:p>
    <w:p>
      <w:pPr>
        <w:pStyle w:val="BodyText"/>
        <w:spacing w:before="97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spacing w:before="74"/>
        <w:ind w:left="100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Program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HealthEquip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International,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Chicago,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2014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  <w:tab w:pos="621" w:val="left" w:leader="none"/>
        </w:tabs>
        <w:spacing w:line="196" w:lineRule="auto" w:before="163" w:after="0"/>
        <w:ind w:left="621" w:right="615" w:hanging="298"/>
        <w:jc w:val="left"/>
        <w:rPr>
          <w:position w:val="-5"/>
          <w:sz w:val="31"/>
        </w:rPr>
      </w:pPr>
      <w:r>
        <w:rPr>
          <w:w w:val="105"/>
          <w:sz w:val="16"/>
        </w:rPr>
        <w:t>Managed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$25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global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upgrade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clinical-support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software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200 </w:t>
      </w:r>
      <w:r>
        <w:rPr>
          <w:spacing w:val="-2"/>
          <w:w w:val="105"/>
          <w:sz w:val="16"/>
        </w:rPr>
        <w:t>hospitals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  <w:tab w:pos="621" w:val="left" w:leader="none"/>
        </w:tabs>
        <w:spacing w:line="196" w:lineRule="auto" w:before="112" w:after="0"/>
        <w:ind w:left="621" w:right="654" w:hanging="298"/>
        <w:jc w:val="left"/>
        <w:rPr>
          <w:position w:val="-5"/>
          <w:sz w:val="31"/>
        </w:rPr>
      </w:pPr>
      <w:r>
        <w:rPr>
          <w:w w:val="105"/>
          <w:sz w:val="16"/>
        </w:rPr>
        <w:t>Negotiated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licensing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agreements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partners,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10%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cost </w:t>
      </w:r>
      <w:r>
        <w:rPr>
          <w:spacing w:val="-2"/>
          <w:w w:val="105"/>
          <w:sz w:val="16"/>
        </w:rPr>
        <w:t>reductions</w:t>
      </w:r>
    </w:p>
    <w:p>
      <w:pPr>
        <w:spacing w:after="0" w:line="196" w:lineRule="auto"/>
        <w:jc w:val="left"/>
        <w:rPr>
          <w:sz w:val="31"/>
        </w:rPr>
        <w:sectPr>
          <w:type w:val="continuous"/>
          <w:pgSz w:w="11920" w:h="16860"/>
          <w:pgMar w:top="940" w:bottom="280" w:left="420" w:right="260"/>
          <w:cols w:num="2" w:equalWidth="0">
            <w:col w:w="3373" w:space="868"/>
            <w:col w:w="6999"/>
          </w:cols>
        </w:sectPr>
      </w:pP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51" w:lineRule="exact" w:before="110" w:after="0"/>
        <w:ind w:left="582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2038350"/>
                            <a:ext cx="4762500" cy="8666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8666480">
                                <a:moveTo>
                                  <a:pt x="0" y="8666225"/>
                                </a:moveTo>
                                <a:lnTo>
                                  <a:pt x="4762233" y="86662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6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5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2038350">
                                <a:moveTo>
                                  <a:pt x="4758308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2019299"/>
                            <a:ext cx="42481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19050">
                                <a:moveTo>
                                  <a:pt x="42481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3936" id="docshapegroup1" coordorigin="0,0" coordsize="11919,16858">
                <v:rect style="position:absolute;left:4418;top:3210;width:7500;height:13648" id="docshape2" filled="true" fillcolor="#f5f5f5" stroked="false">
                  <v:fill type="solid"/>
                </v:rect>
                <v:rect style="position:absolute;left:0;top:2220;width:4419;height:14638" id="docshape3" filled="true" fillcolor="#aa5d0d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9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10" o:title=""/>
                </v:shape>
                <v:rect style="position:absolute;left:4425;top:0;width:7494;height:3210" id="docshape14" filled="true" fillcolor="#ffffff" stroked="false">
                  <v:fill type="solid"/>
                </v:rect>
                <v:rect style="position:absolute;left:4755;top:3180;width:6690;height:30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Global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rollout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43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Regulatory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48" w:lineRule="exact" w:before="0" w:after="0"/>
        <w:ind w:left="582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spacing w:val="2"/>
          <w:sz w:val="18"/>
        </w:rPr>
        <w:t>Cross-cultural</w:t>
      </w:r>
      <w:r>
        <w:rPr>
          <w:color w:val="FFFFFF"/>
          <w:spacing w:val="53"/>
          <w:sz w:val="18"/>
        </w:rPr>
        <w:t> </w:t>
      </w:r>
      <w:r>
        <w:rPr>
          <w:color w:val="FFFFFF"/>
          <w:spacing w:val="-2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51" w:lineRule="exact" w:before="8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Localization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51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Process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standardization</w:t>
      </w:r>
    </w:p>
    <w:sectPr>
      <w:type w:val="continuous"/>
      <w:pgSz w:w="11920" w:h="16860"/>
      <w:pgMar w:top="940" w:bottom="280" w:left="4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2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2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86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752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8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2025-10-21T11:51:10Z</dcterms:created>
  <dcterms:modified xsi:type="dcterms:W3CDTF">2025-10-21T11:51:10Z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