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Heading1"/>
        <w:spacing w:before="154"/>
        <w:ind w:left="553"/>
      </w:pPr>
      <w:r>
        <w:rPr>
          <w:color w:val="FFFFFF"/>
          <w:w w:val="105"/>
        </w:rPr>
        <w:t>Insurance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Accountant</w:t>
      </w:r>
    </w:p>
    <w:p>
      <w:pPr>
        <w:spacing w:line="273" w:lineRule="auto" w:before="179"/>
        <w:ind w:left="553" w:right="287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Insurance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premium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reconciliations,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claims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accounting,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statutory reporting. Adept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NAIC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state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insurance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regulations.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STAFF</w:t>
      </w:r>
      <w:r>
        <w:rPr>
          <w:spacing w:val="-8"/>
          <w:w w:val="105"/>
        </w:rPr>
        <w:t> </w:t>
      </w:r>
      <w:r>
        <w:rPr>
          <w:w w:val="105"/>
        </w:rPr>
        <w:t>ACCOUNTANT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HARTFORD</w:t>
      </w:r>
      <w:r>
        <w:rPr>
          <w:spacing w:val="-8"/>
          <w:w w:val="105"/>
        </w:rPr>
        <w:t> </w:t>
      </w:r>
      <w:r>
        <w:rPr>
          <w:w w:val="105"/>
        </w:rPr>
        <w:t>ASSURANCE , HARTFORD, CT FEBRUARY 2020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680"/>
          <w:cols w:num="2" w:equalWidth="0">
            <w:col w:w="2219" w:space="1538"/>
            <w:col w:w="716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68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Hartford,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2"/>
          <w:w w:val="105"/>
        </w:rPr>
        <w:t>CT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  <w:spacing w:before="0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139" w:after="0"/>
        <w:ind w:left="405" w:right="44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statutory financial reports and support quarterly and annual NAIC filings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82" w:after="0"/>
        <w:ind w:left="405" w:right="106" w:hanging="298"/>
        <w:jc w:val="left"/>
        <w:rPr>
          <w:sz w:val="18"/>
        </w:rPr>
      </w:pPr>
      <w:r>
        <w:rPr>
          <w:w w:val="105"/>
          <w:sz w:val="18"/>
        </w:rPr>
        <w:t>Reconcile premium and claim accounts to ensure accurate reporting for internal and regulatory use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189" w:lineRule="auto" w:before="109" w:after="0"/>
        <w:ind w:left="405" w:right="787" w:hanging="298"/>
        <w:jc w:val="left"/>
        <w:rPr>
          <w:sz w:val="18"/>
        </w:rPr>
      </w:pPr>
      <w:r>
        <w:rPr>
          <w:w w:val="105"/>
          <w:sz w:val="18"/>
        </w:rPr>
        <w:t>Collaborate with auditors to streamline annual reviews, reducing findings to zero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2686" w:space="1517"/>
            <w:col w:w="6717"/>
          </w:cols>
        </w:sectPr>
      </w:pP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189" w:lineRule="auto" w:before="0" w:after="0"/>
        <w:ind w:left="516" w:right="336" w:hanging="298"/>
        <w:jc w:val="left"/>
        <w:rPr>
          <w:sz w:val="18"/>
        </w:rPr>
      </w:pPr>
      <w:r>
        <w:rPr>
          <w:w w:val="105"/>
          <w:sz w:val="18"/>
        </w:rPr>
        <w:t>Claims and premium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189" w:lineRule="auto" w:before="110" w:after="0"/>
        <w:ind w:left="516" w:right="38" w:hanging="298"/>
        <w:jc w:val="left"/>
        <w:rPr>
          <w:sz w:val="18"/>
        </w:rPr>
      </w:pPr>
      <w:r>
        <w:rPr>
          <w:w w:val="105"/>
          <w:sz w:val="18"/>
        </w:rPr>
        <w:t>Statutory and regulatory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201" w:lineRule="auto" w:before="98" w:after="0"/>
        <w:ind w:left="516" w:right="311" w:hanging="298"/>
        <w:jc w:val="left"/>
        <w:rPr>
          <w:sz w:val="18"/>
        </w:rPr>
      </w:pPr>
      <w:r>
        <w:rPr>
          <w:w w:val="105"/>
          <w:sz w:val="18"/>
        </w:rPr>
        <w:t>GAAP and insurance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240" w:lineRule="auto" w:before="43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spacing w:line="240" w:lineRule="auto" w:before="1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219" w:right="699"/>
      </w:pPr>
      <w:r>
        <w:rPr>
          <w:w w:val="105"/>
        </w:rPr>
        <w:t>JUNIOR</w:t>
      </w:r>
      <w:r>
        <w:rPr>
          <w:spacing w:val="-6"/>
          <w:w w:val="105"/>
        </w:rPr>
        <w:t> </w:t>
      </w:r>
      <w:r>
        <w:rPr>
          <w:w w:val="105"/>
        </w:rPr>
        <w:t>ACCOUNTANT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NEW ENGLAND MUTUAL</w:t>
      </w:r>
      <w:r>
        <w:rPr>
          <w:spacing w:val="-3"/>
          <w:w w:val="105"/>
        </w:rPr>
        <w:t> </w:t>
      </w:r>
      <w:r>
        <w:rPr>
          <w:w w:val="105"/>
        </w:rPr>
        <w:t>, HARTFORD, CT JULY 2017 – JANUARY 2020</w:t>
      </w:r>
    </w:p>
    <w:p>
      <w:pPr>
        <w:pStyle w:val="BodyText"/>
        <w:spacing w:before="37"/>
      </w:pPr>
    </w:p>
    <w:p>
      <w:pPr>
        <w:pStyle w:val="ListParagraph"/>
        <w:numPr>
          <w:ilvl w:val="2"/>
          <w:numId w:val="1"/>
        </w:numPr>
        <w:tabs>
          <w:tab w:pos="737" w:val="left" w:leader="none"/>
          <w:tab w:pos="739" w:val="left" w:leader="none"/>
        </w:tabs>
        <w:spacing w:line="201" w:lineRule="auto" w:before="0" w:after="0"/>
        <w:ind w:left="739" w:right="567" w:hanging="298"/>
        <w:jc w:val="left"/>
        <w:rPr>
          <w:sz w:val="18"/>
        </w:rPr>
      </w:pPr>
      <w:r>
        <w:rPr>
          <w:w w:val="105"/>
          <w:sz w:val="18"/>
        </w:rPr>
        <w:t>Supported month-end and year-end close processes for insurance accounting operations</w:t>
      </w:r>
    </w:p>
    <w:p>
      <w:pPr>
        <w:pStyle w:val="ListParagraph"/>
        <w:numPr>
          <w:ilvl w:val="2"/>
          <w:numId w:val="1"/>
        </w:numPr>
        <w:tabs>
          <w:tab w:pos="737" w:val="left" w:leader="none"/>
          <w:tab w:pos="739" w:val="left" w:leader="none"/>
        </w:tabs>
        <w:spacing w:line="189" w:lineRule="auto" w:before="109" w:after="0"/>
        <w:ind w:left="739" w:right="708" w:hanging="298"/>
        <w:jc w:val="left"/>
        <w:rPr>
          <w:sz w:val="18"/>
        </w:rPr>
      </w:pPr>
      <w:r>
        <w:rPr>
          <w:w w:val="105"/>
          <w:sz w:val="18"/>
        </w:rPr>
        <w:t>Assisted in preparing management reports and reconciling claim liability accounts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240" w:lineRule="auto" w:before="60" w:after="0"/>
        <w:ind w:left="738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requirements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680"/>
          <w:cols w:num="2" w:equalWidth="0">
            <w:col w:w="2640" w:space="1229"/>
            <w:col w:w="7051"/>
          </w:cols>
        </w:sectPr>
      </w:pPr>
    </w:p>
    <w:p>
      <w:pPr>
        <w:pStyle w:val="Heading1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58074"/>
                            <a:ext cx="2476500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48025">
                                <a:moveTo>
                                  <a:pt x="0" y="3248024"/>
                                </a:moveTo>
                                <a:lnTo>
                                  <a:pt x="2476499" y="32480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48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58074"/>
                            <a:ext cx="9525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48025">
                                <a:moveTo>
                                  <a:pt x="0" y="3248024"/>
                                </a:moveTo>
                                <a:lnTo>
                                  <a:pt x="9524" y="32480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48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14950">
                                <a:moveTo>
                                  <a:pt x="9524" y="5314949"/>
                                </a:moveTo>
                                <a:lnTo>
                                  <a:pt x="0" y="5314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14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14950">
                                <a:moveTo>
                                  <a:pt x="2466974" y="5314949"/>
                                </a:moveTo>
                                <a:lnTo>
                                  <a:pt x="0" y="5314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14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1745;width:3900;height:5115" id="docshape2" filled="true" fillcolor="#094d73" stroked="false">
                  <v:fill opacity="32899f" type="solid"/>
                </v:rect>
                <v:rect style="position:absolute;left:3885;top:11745;width:15;height:5115" id="docshape3" filled="true" fillcolor="#000000" stroked="false">
                  <v:fill type="solid"/>
                </v:rect>
                <v:rect style="position:absolute;left:0;top:0;width:11919;height:3375" id="docshape4" filled="true" fillcolor="#094d73" stroked="false">
                  <v:fill type="solid"/>
                </v:rect>
                <v:rect style="position:absolute;left:3885;top:3375;width:15;height:8370" id="docshape5" filled="true" fillcolor="#000000" stroked="false">
                  <v:fill type="solid"/>
                </v:rect>
                <v:rect style="position:absolute;left:0;top:3375;width:3885;height:8370" id="docshape6" filled="true" fillcolor="#094d73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094d73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094d73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094d73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line="261" w:lineRule="auto" w:before="235"/>
        <w:ind w:left="219" w:right="31"/>
      </w:pPr>
      <w:r>
        <w:rPr>
          <w:w w:val="105"/>
        </w:rPr>
        <w:t>Bachelor of Science in </w:t>
      </w:r>
      <w:r>
        <w:rPr>
          <w:spacing w:val="-2"/>
          <w:w w:val="105"/>
        </w:rPr>
        <w:t>Accounting</w:t>
      </w:r>
    </w:p>
    <w:p>
      <w:pPr>
        <w:pStyle w:val="BodyText"/>
        <w:spacing w:line="278" w:lineRule="auto" w:before="13"/>
        <w:ind w:left="219"/>
      </w:pPr>
      <w:r>
        <w:rPr>
          <w:w w:val="105"/>
        </w:rPr>
        <w:t>University of Hartford , Hartford, CT, May 2017</w:t>
      </w:r>
    </w:p>
    <w:p>
      <w:pPr>
        <w:pStyle w:val="Heading1"/>
        <w:spacing w:before="302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240" w:lineRule="auto" w:before="253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Accounting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Finance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(AIAF)</w:t>
      </w:r>
    </w:p>
    <w:sectPr>
      <w:type w:val="continuous"/>
      <w:pgSz w:w="11920" w:h="16860"/>
      <w:pgMar w:top="580" w:bottom="280" w:left="320" w:right="680"/>
      <w:cols w:num="2" w:equalWidth="0">
        <w:col w:w="3026" w:space="731"/>
        <w:col w:w="71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5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2025-10-09T11:24:19Z</dcterms:created>
  <dcterms:modified xsi:type="dcterms:W3CDTF">2025-10-09T11:24:19Z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