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18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252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2524125">
                                <a:moveTo>
                                  <a:pt x="47625" y="2496972"/>
                                </a:moveTo>
                                <a:lnTo>
                                  <a:pt x="27165" y="2476500"/>
                                </a:lnTo>
                                <a:lnTo>
                                  <a:pt x="20472" y="2476500"/>
                                </a:lnTo>
                                <a:lnTo>
                                  <a:pt x="0" y="2496972"/>
                                </a:lnTo>
                                <a:lnTo>
                                  <a:pt x="0" y="2500541"/>
                                </a:lnTo>
                                <a:lnTo>
                                  <a:pt x="0" y="2503665"/>
                                </a:lnTo>
                                <a:lnTo>
                                  <a:pt x="20472" y="2524125"/>
                                </a:lnTo>
                                <a:lnTo>
                                  <a:pt x="27165" y="2524125"/>
                                </a:lnTo>
                                <a:lnTo>
                                  <a:pt x="47625" y="2503665"/>
                                </a:lnTo>
                                <a:lnTo>
                                  <a:pt x="47625" y="2496972"/>
                                </a:lnTo>
                                <a:close/>
                              </a:path>
                              <a:path w="1076325" h="2524125">
                                <a:moveTo>
                                  <a:pt x="47625" y="2287422"/>
                                </a:moveTo>
                                <a:lnTo>
                                  <a:pt x="27165" y="2266950"/>
                                </a:lnTo>
                                <a:lnTo>
                                  <a:pt x="20472" y="2266950"/>
                                </a:lnTo>
                                <a:lnTo>
                                  <a:pt x="0" y="2287422"/>
                                </a:lnTo>
                                <a:lnTo>
                                  <a:pt x="0" y="2290991"/>
                                </a:lnTo>
                                <a:lnTo>
                                  <a:pt x="0" y="2294115"/>
                                </a:lnTo>
                                <a:lnTo>
                                  <a:pt x="20472" y="2314575"/>
                                </a:lnTo>
                                <a:lnTo>
                                  <a:pt x="27165" y="2314575"/>
                                </a:lnTo>
                                <a:lnTo>
                                  <a:pt x="47625" y="2294115"/>
                                </a:lnTo>
                                <a:lnTo>
                                  <a:pt x="47625" y="2287422"/>
                                </a:lnTo>
                                <a:close/>
                              </a:path>
                              <a:path w="1076325" h="2524125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1076325" h="2524125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1076325" h="25241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25241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4960" id="docshapegroup1" coordorigin="0,0" coordsize="4065,16860">
                <v:rect style="position:absolute;left:0;top:0;width:4065;height:16860" id="docshape2" filled="true" fillcolor="#ccb6d9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ccb6d9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3975" id="docshape6" coordorigin="690,4860" coordsize="1695,3975" path="m765,8792l764,8787,760,8778,758,8774,751,8767,747,8765,738,8761,733,8760,722,8760,717,8761,708,8765,704,8767,697,8774,695,8778,691,8787,690,8792,690,8798,690,8803,691,8808,695,8817,697,8821,704,8828,708,8830,717,8834,722,8835,733,8835,738,8834,747,8830,751,8828,758,8821,760,8817,764,8808,765,8803,765,8792xm765,8462l764,8457,760,8448,758,8444,751,8437,747,8435,738,8431,733,8430,722,8430,717,8431,708,8435,704,8437,697,8444,695,8448,691,8457,690,8462,690,8468,690,8473,691,8478,695,8487,697,8491,704,8498,708,8500,717,8504,722,8505,733,8505,738,8504,747,8500,751,8498,758,8491,760,8487,764,8478,765,8473,765,8462xm765,8132l764,8127,760,8118,758,8114,751,8107,747,8105,738,8101,733,8100,722,8100,717,8101,708,8105,704,8107,697,8114,695,8118,691,8127,690,8132,690,8138,690,8143,691,8148,695,8157,697,8161,704,8168,708,8170,717,8174,722,8175,733,8175,738,8174,747,8170,751,8168,758,8161,760,8157,764,8148,765,8143,765,8132xm765,7802l764,7797,760,7788,758,7784,751,7777,747,7775,738,7771,733,7770,722,7770,717,7771,708,7775,704,7777,697,7784,695,7788,691,7797,690,7802,690,7808,690,7813,691,7818,695,7827,697,7831,704,7838,708,7840,717,7844,722,7845,733,7845,738,7844,747,7840,751,7838,758,7831,760,7827,764,7818,765,7813,765,7802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74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TS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San</w:t>
      </w:r>
      <w:r>
        <w:rPr>
          <w:color w:val="FFFFFF"/>
          <w:spacing w:val="11"/>
          <w:sz w:val="18"/>
        </w:rPr>
        <w:t> </w:t>
      </w:r>
      <w:r>
        <w:rPr>
          <w:color w:val="FFFFFF"/>
          <w:sz w:val="18"/>
        </w:rPr>
        <w:t>Francisco,</w:t>
      </w:r>
      <w:r>
        <w:rPr>
          <w:color w:val="FFFFFF"/>
          <w:spacing w:val="12"/>
          <w:sz w:val="18"/>
        </w:rPr>
        <w:t> </w:t>
      </w:r>
      <w:r>
        <w:rPr>
          <w:color w:val="FFFFFF"/>
          <w:sz w:val="18"/>
        </w:rPr>
        <w:t>CA </w:t>
      </w:r>
      <w:r>
        <w:rPr>
          <w:color w:val="FFFFFF"/>
          <w:spacing w:val="-2"/>
          <w:sz w:val="18"/>
        </w:rPr>
        <w:t>12345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line="261" w:lineRule="auto" w:before="168"/>
        <w:ind w:left="407" w:right="1171" w:firstLine="0"/>
        <w:jc w:val="left"/>
        <w:rPr>
          <w:sz w:val="18"/>
        </w:rPr>
      </w:pPr>
      <w:hyperlink r:id="rId6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10"/>
          <w:w w:val="105"/>
          <w:sz w:val="18"/>
        </w:rPr>
        <w:t>0</w:t>
      </w:r>
    </w:p>
    <w:p>
      <w:pPr>
        <w:pStyle w:val="BodyText"/>
        <w:spacing w:before="164"/>
        <w:rPr>
          <w:sz w:val="18"/>
        </w:rPr>
      </w:pPr>
    </w:p>
    <w:p>
      <w:pPr>
        <w:pStyle w:val="Heading1"/>
        <w:spacing w:before="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before="155"/>
        <w:ind w:left="705" w:right="0" w:firstLine="0"/>
        <w:jc w:val="left"/>
        <w:rPr>
          <w:sz w:val="18"/>
        </w:rPr>
      </w:pPr>
      <w:r>
        <w:rPr>
          <w:color w:val="FFFFFF"/>
          <w:sz w:val="18"/>
        </w:rPr>
        <w:t>Budget</w:t>
      </w:r>
      <w:r>
        <w:rPr>
          <w:color w:val="FFFFFF"/>
          <w:spacing w:val="13"/>
          <w:sz w:val="18"/>
        </w:rPr>
        <w:t> </w:t>
      </w:r>
      <w:r>
        <w:rPr>
          <w:color w:val="FFFFFF"/>
          <w:spacing w:val="-2"/>
          <w:sz w:val="18"/>
        </w:rPr>
        <w:t>preparation</w:t>
      </w:r>
    </w:p>
    <w:p>
      <w:pPr>
        <w:spacing w:line="381" w:lineRule="auto" w:before="123"/>
        <w:ind w:left="705" w:right="164" w:firstLine="0"/>
        <w:jc w:val="left"/>
        <w:rPr>
          <w:sz w:val="18"/>
        </w:rPr>
      </w:pPr>
      <w:r>
        <w:rPr>
          <w:color w:val="FFFFFF"/>
          <w:w w:val="105"/>
          <w:sz w:val="18"/>
        </w:rPr>
        <w:t>Data gathering and analysis </w:t>
      </w:r>
      <w:r>
        <w:rPr>
          <w:color w:val="FFFFFF"/>
          <w:spacing w:val="-2"/>
          <w:w w:val="105"/>
          <w:sz w:val="18"/>
        </w:rPr>
        <w:t>Cross-functional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collaboration </w:t>
      </w:r>
      <w:r>
        <w:rPr>
          <w:color w:val="FFFFFF"/>
          <w:spacing w:val="-4"/>
          <w:w w:val="105"/>
          <w:sz w:val="18"/>
        </w:rPr>
        <w:t>GAAP</w:t>
      </w:r>
    </w:p>
    <w:p>
      <w:pPr>
        <w:pStyle w:val="Heading1"/>
        <w:spacing w:before="166"/>
      </w:pPr>
      <w:r>
        <w:rPr>
          <w:color w:val="FFFFFF"/>
          <w:spacing w:val="-2"/>
        </w:rPr>
        <w:t>Education</w:t>
      </w:r>
    </w:p>
    <w:p>
      <w:pPr>
        <w:spacing w:line="261" w:lineRule="auto" w:before="170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Pennsylvania, </w:t>
      </w:r>
      <w:r>
        <w:rPr>
          <w:color w:val="FFFFFF"/>
          <w:w w:val="105"/>
          <w:sz w:val="18"/>
        </w:rPr>
        <w:t>Philadelphia, PA</w:t>
      </w:r>
    </w:p>
    <w:p>
      <w:pPr>
        <w:spacing w:before="14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2015</w:t>
      </w:r>
    </w:p>
    <w:p>
      <w:pPr>
        <w:spacing w:before="1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Bachelor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Science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Accounting</w:t>
      </w:r>
    </w:p>
    <w:p>
      <w:pPr>
        <w:pStyle w:val="BodyText"/>
        <w:spacing w:before="6"/>
        <w:rPr>
          <w:sz w:val="18"/>
        </w:rPr>
      </w:pPr>
    </w:p>
    <w:p>
      <w:pPr>
        <w:spacing w:line="278" w:lineRule="auto" w:before="0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Southern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California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, </w:t>
      </w:r>
      <w:r>
        <w:rPr>
          <w:color w:val="FFFFFF"/>
          <w:w w:val="105"/>
          <w:sz w:val="18"/>
        </w:rPr>
        <w:t>Los Angeles, CA</w:t>
      </w:r>
    </w:p>
    <w:p>
      <w:pPr>
        <w:spacing w:line="192" w:lineRule="exact" w:before="0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December</w:t>
      </w:r>
      <w:r>
        <w:rPr>
          <w:color w:val="FFFFFF"/>
          <w:spacing w:val="18"/>
          <w:sz w:val="18"/>
        </w:rPr>
        <w:t> </w:t>
      </w:r>
      <w:r>
        <w:rPr>
          <w:color w:val="FFFFFF"/>
          <w:spacing w:val="-4"/>
          <w:sz w:val="18"/>
        </w:rPr>
        <w:t>2017</w:t>
      </w:r>
    </w:p>
    <w:p>
      <w:pPr>
        <w:spacing w:before="33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Master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Science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Accounting</w:t>
      </w:r>
    </w:p>
    <w:p>
      <w:pPr>
        <w:pStyle w:val="BodyText"/>
        <w:spacing w:before="6"/>
        <w:rPr>
          <w:sz w:val="18"/>
        </w:rPr>
      </w:pPr>
    </w:p>
    <w:p>
      <w:pPr>
        <w:spacing w:line="278" w:lineRule="auto" w:before="0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Harvard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Business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School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,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Boston, </w:t>
      </w:r>
      <w:r>
        <w:rPr>
          <w:color w:val="FFFFFF"/>
          <w:spacing w:val="-6"/>
          <w:w w:val="105"/>
          <w:sz w:val="18"/>
        </w:rPr>
        <w:t>MA</w:t>
      </w:r>
    </w:p>
    <w:p>
      <w:pPr>
        <w:pStyle w:val="BodyText"/>
        <w:spacing w:before="18"/>
        <w:rPr>
          <w:sz w:val="18"/>
        </w:rPr>
      </w:pPr>
    </w:p>
    <w:p>
      <w:pPr>
        <w:spacing w:line="268" w:lineRule="auto" w:before="0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Master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Business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Administration </w:t>
      </w:r>
      <w:r>
        <w:rPr>
          <w:color w:val="FFFFFF"/>
          <w:w w:val="105"/>
          <w:sz w:val="18"/>
        </w:rPr>
        <w:t>(MBA) with a concentration in </w:t>
      </w:r>
      <w:r>
        <w:rPr>
          <w:color w:val="FFFFFF"/>
          <w:spacing w:val="-2"/>
          <w:w w:val="105"/>
          <w:sz w:val="18"/>
        </w:rPr>
        <w:t>Accounting</w:t>
      </w:r>
    </w:p>
    <w:p>
      <w:pPr>
        <w:pStyle w:val="Title"/>
      </w:pPr>
      <w:r>
        <w:rPr>
          <w:b w:val="0"/>
        </w:rPr>
        <w:br w:type="column"/>
      </w:r>
      <w:r>
        <w:rPr>
          <w:spacing w:val="-2"/>
        </w:rPr>
        <w:t>Taylor</w:t>
      </w:r>
      <w:r>
        <w:rPr>
          <w:spacing w:val="-43"/>
        </w:rPr>
        <w:t> </w:t>
      </w:r>
      <w:r>
        <w:rPr>
          <w:spacing w:val="-4"/>
        </w:rPr>
        <w:t>Smith</w:t>
      </w:r>
    </w:p>
    <w:p>
      <w:pPr>
        <w:spacing w:before="204"/>
        <w:ind w:left="115" w:right="302" w:firstLine="0"/>
        <w:jc w:val="center"/>
        <w:rPr>
          <w:rFonts w:ascii="Microsoft Sans Serif"/>
          <w:sz w:val="26"/>
        </w:rPr>
      </w:pPr>
      <w:r>
        <w:rPr>
          <w:rFonts w:ascii="Microsoft Sans Serif"/>
          <w:w w:val="125"/>
          <w:sz w:val="26"/>
        </w:rPr>
        <w:t>Staf</w:t>
      </w:r>
      <w:r>
        <w:rPr>
          <w:rFonts w:ascii="Microsoft Sans Serif"/>
          <w:spacing w:val="-26"/>
          <w:w w:val="125"/>
          <w:sz w:val="26"/>
        </w:rPr>
        <w:t> </w:t>
      </w:r>
      <w:r>
        <w:rPr>
          <w:rFonts w:ascii="Microsoft Sans Serif"/>
          <w:spacing w:val="-2"/>
          <w:w w:val="120"/>
          <w:sz w:val="26"/>
        </w:rPr>
        <w:t>Accountant</w:t>
      </w:r>
    </w:p>
    <w:p>
      <w:pPr>
        <w:spacing w:line="268" w:lineRule="auto" w:before="196"/>
        <w:ind w:left="115" w:right="302" w:firstLine="0"/>
        <w:jc w:val="center"/>
        <w:rPr>
          <w:sz w:val="18"/>
        </w:rPr>
      </w:pPr>
      <w:r>
        <w:rPr>
          <w:w w:val="105"/>
          <w:sz w:val="18"/>
        </w:rPr>
        <w:t>Staff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accountant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strong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top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accounting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ﬁrms such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Ernst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Young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PricewaterhouseCoopers.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maintaining ﬁnancial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reports,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preparing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budgets,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conducting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ﬁnancial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audits.</w:t>
      </w:r>
    </w:p>
    <w:p>
      <w:pPr>
        <w:pStyle w:val="BodyText"/>
        <w:spacing w:before="11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237358</wp:posOffset>
                </wp:positionV>
                <wp:extent cx="4619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.689615pt;width:363.749971pt;height:.75pt;mso-position-horizontal-relative:page;mso-position-vertical-relative:paragraph;z-index:-15728640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2"/>
        <w:rPr>
          <w:sz w:val="18"/>
        </w:rPr>
      </w:pPr>
    </w:p>
    <w:p>
      <w:pPr>
        <w:pStyle w:val="Heading1"/>
      </w:pP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pStyle w:val="BodyText"/>
        <w:spacing w:before="174"/>
        <w:ind w:left="314"/>
      </w:pPr>
      <w:r>
        <w:rPr>
          <w:spacing w:val="-2"/>
          <w:w w:val="105"/>
        </w:rPr>
        <w:t>Senior</w:t>
      </w:r>
      <w:r>
        <w:rPr>
          <w:w w:val="105"/>
        </w:rPr>
        <w:t> </w:t>
      </w:r>
      <w:r>
        <w:rPr>
          <w:spacing w:val="-2"/>
          <w:w w:val="105"/>
        </w:rPr>
        <w:t>Staff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Accountant,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Ernst</w:t>
      </w:r>
      <w:r>
        <w:rPr>
          <w:w w:val="105"/>
        </w:rPr>
        <w:t> </w:t>
      </w:r>
      <w:r>
        <w:rPr>
          <w:spacing w:val="-2"/>
          <w:w w:val="105"/>
        </w:rPr>
        <w:t>&amp;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Young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(EY)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Philadelphia,</w:t>
      </w:r>
      <w:r>
        <w:rPr>
          <w:w w:val="105"/>
        </w:rPr>
        <w:t> </w:t>
      </w:r>
      <w:r>
        <w:rPr>
          <w:spacing w:val="-5"/>
          <w:w w:val="105"/>
        </w:rPr>
        <w:t>PA</w:t>
      </w:r>
    </w:p>
    <w:p>
      <w:pPr>
        <w:pStyle w:val="BodyText"/>
        <w:spacing w:before="41"/>
        <w:ind w:left="314"/>
      </w:pP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2019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679" w:hanging="291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Prepare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present</w:t>
      </w:r>
      <w:r>
        <w:rPr>
          <w:spacing w:val="-1"/>
          <w:w w:val="105"/>
        </w:rPr>
        <w:t> </w:t>
      </w:r>
      <w:r>
        <w:rPr>
          <w:w w:val="105"/>
        </w:rPr>
        <w:t>detailed</w:t>
      </w:r>
      <w:r>
        <w:rPr>
          <w:spacing w:val="-1"/>
          <w:w w:val="105"/>
        </w:rPr>
        <w:t> </w:t>
      </w:r>
      <w:r>
        <w:rPr>
          <w:w w:val="105"/>
        </w:rPr>
        <w:t>monthly</w:t>
      </w:r>
      <w:r>
        <w:rPr>
          <w:spacing w:val="-1"/>
          <w:w w:val="105"/>
        </w:rPr>
        <w:t> </w:t>
      </w:r>
      <w:r>
        <w:rPr>
          <w:w w:val="105"/>
        </w:rPr>
        <w:t>ﬁnancial</w:t>
      </w:r>
      <w:r>
        <w:rPr>
          <w:spacing w:val="-1"/>
          <w:w w:val="105"/>
        </w:rPr>
        <w:t> </w:t>
      </w:r>
      <w:r>
        <w:rPr>
          <w:w w:val="105"/>
        </w:rPr>
        <w:t>reports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senior</w:t>
      </w:r>
      <w:r>
        <w:rPr>
          <w:spacing w:val="-1"/>
          <w:w w:val="105"/>
        </w:rPr>
        <w:t> </w:t>
      </w:r>
      <w:r>
        <w:rPr>
          <w:w w:val="105"/>
        </w:rPr>
        <w:t>management, highlighting key business indicators, risks, and opportunities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164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Lead the annual budgeting process, working closely with different department heads to ensure accurate forecasting</w:t>
      </w:r>
    </w:p>
    <w:p>
      <w:pPr>
        <w:pStyle w:val="BodyText"/>
        <w:tabs>
          <w:tab w:pos="891" w:val="left" w:leader="none"/>
        </w:tabs>
        <w:spacing w:line="273" w:lineRule="auto" w:before="90"/>
        <w:ind w:left="891" w:right="111" w:hanging="291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Conduct regular internal audits, identifying and rectifying discrepancies, resulting in a 15% decrease in ﬁnancial inconsistencies</w:t>
      </w:r>
    </w:p>
    <w:p>
      <w:pPr>
        <w:pStyle w:val="BodyText"/>
        <w:spacing w:before="102"/>
      </w:pPr>
    </w:p>
    <w:p>
      <w:pPr>
        <w:pStyle w:val="BodyText"/>
        <w:ind w:left="314"/>
      </w:pPr>
      <w:r>
        <w:rPr>
          <w:spacing w:val="-2"/>
          <w:w w:val="105"/>
        </w:rPr>
        <w:t>Staff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Accountant,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PricewaterhouseCoopers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(PwC)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Los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Angeles,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41"/>
        <w:ind w:left="314"/>
      </w:pPr>
      <w:r>
        <w:rPr>
          <w:w w:val="105"/>
        </w:rPr>
        <w:t>January</w:t>
      </w:r>
      <w:r>
        <w:rPr>
          <w:spacing w:val="-3"/>
          <w:w w:val="105"/>
        </w:rPr>
        <w:t> </w:t>
      </w:r>
      <w:r>
        <w:rPr>
          <w:w w:val="105"/>
        </w:rPr>
        <w:t>2018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December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37"/>
      </w:pPr>
    </w:p>
    <w:p>
      <w:pPr>
        <w:pStyle w:val="BodyText"/>
        <w:tabs>
          <w:tab w:pos="891" w:val="left" w:leader="none"/>
        </w:tabs>
        <w:spacing w:line="273" w:lineRule="auto"/>
        <w:ind w:left="891" w:right="508" w:hanging="291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Helped prepare quarterly and annual ﬁnancial reports, ensuring compliance with </w:t>
      </w:r>
      <w:r>
        <w:rPr>
          <w:spacing w:val="-4"/>
          <w:w w:val="105"/>
        </w:rPr>
        <w:t>GAAP</w:t>
      </w:r>
    </w:p>
    <w:p>
      <w:pPr>
        <w:pStyle w:val="BodyText"/>
        <w:tabs>
          <w:tab w:pos="891" w:val="left" w:leader="none"/>
        </w:tabs>
        <w:spacing w:line="273" w:lineRule="auto" w:before="105"/>
        <w:ind w:left="891" w:right="508" w:hanging="291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Participated in the budget preparation process, analyzing previous budgets and ﬁnancial data to provide accurate information for future planning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378" w:hanging="291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Conducted ﬁnancial analysis regularly, identifying trends and providing actionable insights to management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1"/>
      </w:pP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Development</w:t>
      </w:r>
    </w:p>
    <w:p>
      <w:pPr>
        <w:pStyle w:val="BodyText"/>
        <w:tabs>
          <w:tab w:pos="612" w:val="left" w:leader="none"/>
        </w:tabs>
        <w:spacing w:before="159"/>
        <w:ind w:left="315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Certiﬁed</w:t>
      </w:r>
      <w:r>
        <w:rPr>
          <w:spacing w:val="-6"/>
          <w:w w:val="105"/>
        </w:rPr>
        <w:t> </w:t>
      </w:r>
      <w:r>
        <w:rPr>
          <w:w w:val="105"/>
        </w:rPr>
        <w:t>Internal</w:t>
      </w:r>
      <w:r>
        <w:rPr>
          <w:spacing w:val="-6"/>
          <w:w w:val="105"/>
        </w:rPr>
        <w:t> </w:t>
      </w:r>
      <w:r>
        <w:rPr>
          <w:w w:val="105"/>
        </w:rPr>
        <w:t>Auditor</w:t>
      </w:r>
      <w:r>
        <w:rPr>
          <w:spacing w:val="-5"/>
          <w:w w:val="105"/>
        </w:rPr>
        <w:t> </w:t>
      </w:r>
      <w:r>
        <w:rPr>
          <w:w w:val="105"/>
        </w:rPr>
        <w:t>(CIA)</w:t>
      </w:r>
      <w:r>
        <w:rPr>
          <w:spacing w:val="-6"/>
          <w:w w:val="105"/>
        </w:rPr>
        <w:t> </w:t>
      </w:r>
      <w:r>
        <w:rPr>
          <w:w w:val="105"/>
        </w:rPr>
        <w:t>,</w:t>
      </w:r>
      <w:r>
        <w:rPr>
          <w:spacing w:val="-5"/>
          <w:w w:val="105"/>
        </w:rPr>
        <w:t> </w:t>
      </w:r>
      <w:r>
        <w:rPr>
          <w:w w:val="105"/>
        </w:rPr>
        <w:t>Institute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Internal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Auditors</w:t>
      </w:r>
    </w:p>
    <w:p>
      <w:pPr>
        <w:pStyle w:val="BodyText"/>
        <w:tabs>
          <w:tab w:pos="612" w:val="left" w:leader="none"/>
        </w:tabs>
        <w:spacing w:line="391" w:lineRule="auto" w:before="116"/>
        <w:ind w:left="315" w:right="759"/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Certiﬁed Management Accountant (CMA) , Institute of Management Accountants </w:t>
      </w: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</w:rPr>
        <w:tab/>
      </w:r>
      <w:r>
        <w:rPr>
          <w:w w:val="105"/>
        </w:rPr>
        <w:t>Certiﬁed Public Accountant (CPA) , American Institute of CPAs</w:t>
      </w:r>
    </w:p>
    <w:sectPr>
      <w:type w:val="continuous"/>
      <w:pgSz w:w="11920" w:h="16860"/>
      <w:pgMar w:top="0" w:bottom="0" w:left="280" w:right="180"/>
      <w:cols w:num="2" w:equalWidth="0">
        <w:col w:w="3320" w:space="734"/>
        <w:col w:w="74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15" w:right="302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2025-10-09T10:25:06Z</dcterms:created>
  <dcterms:modified xsi:type="dcterms:W3CDTF">2025-10-09T10:25:06Z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