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93" w:right="0" w:firstLine="0"/>
        <w:jc w:val="left"/>
        <w:rPr>
          <w:b/>
          <w:sz w:val="29"/>
        </w:rPr>
      </w:pPr>
      <w:r>
        <w:rPr>
          <w:b/>
          <w:color w:val="FFFFFF"/>
          <w:w w:val="110"/>
          <w:sz w:val="29"/>
        </w:rPr>
        <w:t>Entry-Level</w:t>
      </w:r>
      <w:r>
        <w:rPr>
          <w:b/>
          <w:color w:val="FFFFFF"/>
          <w:spacing w:val="-16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Staf</w:t>
      </w:r>
      <w:r>
        <w:rPr>
          <w:b/>
          <w:color w:val="FFFFFF"/>
          <w:spacing w:val="-16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Accountant</w:t>
      </w:r>
    </w:p>
    <w:p>
      <w:pPr>
        <w:spacing w:line="273" w:lineRule="auto" w:before="179"/>
        <w:ind w:left="493" w:right="665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staff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early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 financial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reporting. Adept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drafts,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reconciling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accounts,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GAAP.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380" w:right="220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spacing w:before="1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215" w:right="1322"/>
      </w:pPr>
      <w:r>
        <w:rPr>
          <w:w w:val="105"/>
        </w:rPr>
        <w:t>Junior</w:t>
      </w:r>
      <w:r>
        <w:rPr>
          <w:spacing w:val="-1"/>
          <w:w w:val="105"/>
        </w:rPr>
        <w:t> </w:t>
      </w:r>
      <w:r>
        <w:rPr>
          <w:w w:val="105"/>
        </w:rPr>
        <w:t>Accountant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PricewaterhouseCoopers (PwC) , Seattle, WA June 2022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531" w:space="2301"/>
            <w:col w:w="7488"/>
          </w:cols>
        </w:sectPr>
      </w:pPr>
    </w:p>
    <w:p>
      <w:pPr>
        <w:pStyle w:val="BodyText"/>
        <w:spacing w:before="53"/>
        <w:ind w:left="64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09" w:lineRule="auto"/>
        <w:ind w:left="642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w w:val="105"/>
        </w:rPr>
        <w:t>Seattle, WA 12345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189" w:lineRule="auto" w:before="107" w:after="0"/>
        <w:ind w:left="940" w:right="1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 monthly reconciliations and assist in maintaining financial records for multiple client accounts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98" w:after="0"/>
        <w:ind w:left="940" w:right="627" w:hanging="298"/>
        <w:jc w:val="left"/>
        <w:rPr>
          <w:sz w:val="18"/>
        </w:rPr>
      </w:pPr>
      <w:r>
        <w:rPr>
          <w:w w:val="105"/>
          <w:sz w:val="18"/>
        </w:rPr>
        <w:t>Support budget preparation by compiling prior-year data and providing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variance explanations to senior accountants</w:t>
      </w:r>
    </w:p>
    <w:p>
      <w:pPr>
        <w:pStyle w:val="ListParagraph"/>
        <w:numPr>
          <w:ilvl w:val="0"/>
          <w:numId w:val="1"/>
        </w:numPr>
        <w:tabs>
          <w:tab w:pos="938" w:val="left" w:leader="none"/>
          <w:tab w:pos="940" w:val="left" w:leader="none"/>
        </w:tabs>
        <w:spacing w:line="201" w:lineRule="auto" w:before="82" w:after="0"/>
        <w:ind w:left="940" w:right="584" w:hanging="298"/>
        <w:jc w:val="left"/>
        <w:rPr>
          <w:sz w:val="18"/>
        </w:rPr>
      </w:pPr>
      <w:r>
        <w:rPr>
          <w:w w:val="105"/>
          <w:sz w:val="18"/>
        </w:rPr>
        <w:t>Assisted in quarterly reporting that improved team accuracy and met 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internal deadlines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380" w:right="220"/>
          <w:cols w:num="2" w:equalWidth="0">
            <w:col w:w="2422" w:space="1150"/>
            <w:col w:w="7748"/>
          </w:cols>
        </w:sectPr>
      </w:pPr>
    </w:p>
    <w:p>
      <w:pPr>
        <w:pStyle w:val="Heading1"/>
        <w:spacing w:before="135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4"/>
        </w:rPr>
        <w:t>Skills</w:t>
      </w:r>
    </w:p>
    <w:p>
      <w:pPr>
        <w:spacing w:line="240" w:lineRule="auto" w:before="11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103" w:right="3807"/>
      </w:pPr>
      <w:r>
        <w:rPr>
          <w:w w:val="105"/>
        </w:rPr>
        <w:t>Accounting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KPMG , Seattle, WA June 2021 – May 2022</w:t>
      </w:r>
    </w:p>
    <w:p>
      <w:pPr>
        <w:spacing w:after="0" w:line="268" w:lineRule="auto"/>
        <w:sectPr>
          <w:type w:val="continuous"/>
          <w:pgSz w:w="11920" w:h="16860"/>
          <w:pgMar w:top="780" w:bottom="280" w:left="380" w:right="220"/>
          <w:cols w:num="2" w:equalWidth="0">
            <w:col w:w="1815" w:space="2129"/>
            <w:col w:w="7376"/>
          </w:cols>
        </w:sectPr>
      </w:pP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15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Account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reconciliation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Budget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00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Financial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28" w:lineRule="exact" w:before="0" w:after="0"/>
        <w:ind w:left="511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spacing w:val="-4"/>
          <w:w w:val="105"/>
          <w:sz w:val="16"/>
        </w:rPr>
        <w:t>GAAP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135" w:after="0"/>
        <w:ind w:left="512" w:right="70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auditing client accounts, ensuring compliance with internal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controls and financial regulations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343" w:lineRule="exact" w:before="43" w:after="0"/>
        <w:ind w:left="51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mid-size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2"/>
        </w:numPr>
        <w:tabs>
          <w:tab w:pos="510" w:val="left" w:leader="none"/>
          <w:tab w:pos="512" w:val="left" w:leader="none"/>
        </w:tabs>
        <w:spacing w:line="201" w:lineRule="auto" w:before="25" w:after="0"/>
        <w:ind w:left="512" w:right="2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team to streamline account reconciliation, reducing errors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10%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780" w:bottom="280" w:left="380" w:right="220"/>
          <w:cols w:num="2" w:equalWidth="0">
            <w:col w:w="2251" w:space="1748"/>
            <w:col w:w="7321"/>
          </w:cols>
        </w:sectPr>
      </w:pPr>
    </w:p>
    <w:p>
      <w:pPr>
        <w:pStyle w:val="Heading1"/>
        <w:spacing w:before="136"/>
      </w:pPr>
      <w:r>
        <w:rPr>
          <w:smallCaps/>
          <w:color w:val="F5F5F5"/>
          <w:spacing w:val="-2"/>
        </w:rPr>
        <w:t>Education</w:t>
      </w:r>
    </w:p>
    <w:p>
      <w:pPr>
        <w:spacing w:before="301"/>
        <w:ind w:left="103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spacing w:val="-5"/>
          <w:sz w:val="35"/>
        </w:rPr>
        <w:t>Professional</w:t>
      </w:r>
      <w:r>
        <w:rPr>
          <w:b/>
          <w:smallCaps/>
          <w:spacing w:val="-4"/>
          <w:sz w:val="35"/>
        </w:rPr>
        <w:t> </w:t>
      </w:r>
      <w:r>
        <w:rPr>
          <w:b/>
          <w:smallCaps/>
          <w:spacing w:val="-2"/>
          <w:sz w:val="35"/>
        </w:rPr>
        <w:t>Development</w:t>
      </w:r>
    </w:p>
    <w:p>
      <w:pPr>
        <w:spacing w:after="0"/>
        <w:jc w:val="left"/>
        <w:rPr>
          <w:sz w:val="35"/>
        </w:rPr>
        <w:sectPr>
          <w:type w:val="continuous"/>
          <w:pgSz w:w="11920" w:h="16860"/>
          <w:pgMar w:top="780" w:bottom="280" w:left="380" w:right="220"/>
          <w:cols w:num="2" w:equalWidth="0">
            <w:col w:w="1853" w:space="1979"/>
            <w:col w:w="7488"/>
          </w:cols>
        </w:sectPr>
      </w:pPr>
    </w:p>
    <w:p>
      <w:pPr>
        <w:spacing w:line="273" w:lineRule="auto" w:before="165"/>
        <w:ind w:left="215" w:right="38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381874"/>
                            <a:ext cx="226695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324225">
                                <a:moveTo>
                                  <a:pt x="0" y="3324224"/>
                                </a:moveTo>
                                <a:lnTo>
                                  <a:pt x="2266949" y="332422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00299"/>
                            <a:ext cx="2266950" cy="498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81575">
                                <a:moveTo>
                                  <a:pt x="2266950" y="3886200"/>
                                </a:moveTo>
                                <a:lnTo>
                                  <a:pt x="0" y="3886200"/>
                                </a:lnTo>
                                <a:lnTo>
                                  <a:pt x="0" y="4981575"/>
                                </a:lnTo>
                                <a:lnTo>
                                  <a:pt x="2266950" y="4981575"/>
                                </a:lnTo>
                                <a:lnTo>
                                  <a:pt x="2266950" y="3886200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2419350"/>
                                </a:moveTo>
                                <a:lnTo>
                                  <a:pt x="0" y="2419350"/>
                                </a:lnTo>
                                <a:lnTo>
                                  <a:pt x="0" y="3448050"/>
                                </a:lnTo>
                                <a:lnTo>
                                  <a:pt x="2266950" y="3448050"/>
                                </a:lnTo>
                                <a:lnTo>
                                  <a:pt x="2266950" y="2419350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1981200"/>
                                </a:lnTo>
                                <a:lnTo>
                                  <a:pt x="2266950" y="198120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00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0290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3814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8158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483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81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255;top:11625;width:3570;height:5235" id="docshape2" filled="true" fillcolor="#59a599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254;top:3780;width:3570;height:7845" id="docshape4" coordorigin="255,3780" coordsize="3570,7845" path="m3825,9900l255,9900,255,11625,3825,11625,3825,9900xm3825,7590l255,7590,255,9210,3825,9210,3825,7590xm3825,5100l255,5100,255,6900,3825,6900,3825,5100xm3825,3780l255,3780,255,4410,3825,4410,3825,3780xe" filled="true" fillcolor="#59a599" stroked="false">
                  <v:path arrowok="t"/>
                  <v:fill opacity="32899f" type="solid"/>
                </v:shape>
                <v:rect style="position:absolute;left:0;top:4410;width:4020;height:690" id="docshape5" filled="true" fillcolor="#59a599" stroked="false">
                  <v:fill type="solid"/>
                </v:rect>
                <v:shape style="position:absolute;left:3825;top:5092;width:197;height:404" type="#_x0000_t75" id="docshape6" stroked="false">
                  <v:imagedata r:id="rId6" o:title=""/>
                </v:shape>
                <v:shape style="position:absolute;left:600;top:5295;width:255;height:261" type="#_x0000_t75" id="docshape7" stroked="false">
                  <v:imagedata r:id="rId7" o:title=""/>
                </v:shape>
                <v:shape style="position:absolute;left:600;top:5805;width:255;height:300" type="#_x0000_t75" id="docshape8" stroked="false">
                  <v:imagedata r:id="rId8" o:title=""/>
                </v:shape>
                <v:shape style="position:absolute;left:600;top:6345;width:255;height:263" type="#_x0000_t75" id="docshape9" stroked="false">
                  <v:imagedata r:id="rId9" o:title=""/>
                </v:shape>
                <v:rect style="position:absolute;left:0;top:6900;width:4020;height:690" id="docshape10" filled="true" fillcolor="#59a599" stroked="false">
                  <v:fill type="solid"/>
                </v:rect>
                <v:shape style="position:absolute;left:3825;top:7584;width:197;height:404" type="#_x0000_t75" id="docshape11" stroked="false">
                  <v:imagedata r:id="rId10" o:title=""/>
                </v:shape>
                <v:rect style="position:absolute;left:0;top:9210;width:4020;height:690" id="docshape12" filled="true" fillcolor="#59a599" stroked="false">
                  <v:fill type="solid"/>
                </v:rect>
                <v:shape style="position:absolute;left:3825;top:9892;width:197;height:404" type="#_x0000_t75" id="docshape1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Bachelor of Science in Accounting University of Washington , Seattle, WA May 2021</w:t>
      </w:r>
    </w:p>
    <w:p>
      <w:pPr>
        <w:pStyle w:val="ListParagraph"/>
        <w:numPr>
          <w:ilvl w:val="0"/>
          <w:numId w:val="2"/>
        </w:numPr>
        <w:tabs>
          <w:tab w:pos="511" w:val="left" w:leader="none"/>
        </w:tabs>
        <w:spacing w:line="240" w:lineRule="auto" w:before="165" w:after="0"/>
        <w:ind w:left="51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(CPA)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Candidate,</w:t>
      </w:r>
    </w:p>
    <w:sectPr>
      <w:type w:val="continuous"/>
      <w:pgSz w:w="11920" w:h="16860"/>
      <w:pgMar w:top="780" w:bottom="280" w:left="380" w:right="220"/>
      <w:cols w:num="2" w:equalWidth="0">
        <w:col w:w="3241" w:space="590"/>
        <w:col w:w="74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0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2025-10-09T10:29:28Z</dcterms:created>
  <dcterms:modified xsi:type="dcterms:W3CDTF">2025-10-09T10:29:28Z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