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DH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line="583" w:lineRule="auto" w:before="1"/>
        <w:ind w:left="861"/>
      </w:pP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8" w:lineRule="exact"/>
        <w:ind w:left="861"/>
      </w:pPr>
      <w:r>
        <w:rPr>
          <w:color w:val="FFFFFF"/>
          <w:w w:val="105"/>
        </w:rPr>
        <w:t>(456)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789-</w:t>
      </w:r>
      <w:r>
        <w:rPr>
          <w:color w:val="FFFFFF"/>
          <w:spacing w:val="-4"/>
          <w:w w:val="105"/>
        </w:rPr>
        <w:t>1230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22" w:lineRule="auto" w:before="1"/>
        <w:ind w:left="600" w:right="182"/>
      </w:pPr>
      <w:r>
        <w:rPr>
          <w:color w:val="FFFFFF"/>
          <w:w w:val="105"/>
        </w:rPr>
        <w:t>Civil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litigation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Contract negotiation Compliance advisory Legal risk assessment Client representation</w:t>
      </w:r>
    </w:p>
    <w:p>
      <w:pPr>
        <w:spacing w:line="244" w:lineRule="auto" w:before="68"/>
        <w:ind w:left="325" w:right="77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C0C0C"/>
          <w:spacing w:val="11"/>
          <w:sz w:val="82"/>
        </w:rPr>
        <w:t>Daniel </w:t>
      </w:r>
      <w:r>
        <w:rPr>
          <w:rFonts w:ascii="Microsoft Sans Serif"/>
          <w:color w:val="0C0C0C"/>
          <w:sz w:val="82"/>
        </w:rPr>
        <w:t>Harper, </w:t>
      </w:r>
      <w:r>
        <w:rPr>
          <w:rFonts w:ascii="Microsoft Sans Serif"/>
          <w:color w:val="0C0C0C"/>
          <w:spacing w:val="6"/>
          <w:sz w:val="82"/>
        </w:rPr>
        <w:t>Esq.</w:t>
      </w:r>
    </w:p>
    <w:p>
      <w:pPr>
        <w:spacing w:before="192"/>
        <w:ind w:left="334" w:right="77" w:firstLine="0"/>
        <w:jc w:val="center"/>
        <w:rPr>
          <w:b/>
          <w:sz w:val="26"/>
        </w:rPr>
      </w:pPr>
      <w:r>
        <w:rPr>
          <w:b/>
          <w:color w:val="0C0C0C"/>
          <w:w w:val="105"/>
          <w:sz w:val="26"/>
        </w:rPr>
        <w:t>Attorney</w:t>
      </w:r>
      <w:r>
        <w:rPr>
          <w:b/>
          <w:color w:val="0C0C0C"/>
          <w:spacing w:val="15"/>
          <w:w w:val="105"/>
          <w:sz w:val="26"/>
        </w:rPr>
        <w:t> </w:t>
      </w:r>
      <w:r>
        <w:rPr>
          <w:b/>
          <w:color w:val="0C0C0C"/>
          <w:spacing w:val="-2"/>
          <w:w w:val="105"/>
          <w:sz w:val="26"/>
        </w:rPr>
        <w:t>legal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61" w:lineRule="auto" w:before="0"/>
        <w:ind w:left="344" w:right="85" w:firstLine="0"/>
        <w:jc w:val="center"/>
        <w:rPr>
          <w:b/>
          <w:sz w:val="18"/>
        </w:rPr>
      </w:pPr>
      <w:r>
        <w:rPr>
          <w:b/>
          <w:color w:val="0C0C0C"/>
          <w:w w:val="105"/>
          <w:sz w:val="18"/>
        </w:rPr>
        <w:t>Dynamic attorney with a proven track record in litigation and corporate </w:t>
      </w:r>
      <w:r>
        <w:rPr>
          <w:b/>
          <w:color w:val="0C0C0C"/>
          <w:spacing w:val="-2"/>
          <w:w w:val="105"/>
          <w:sz w:val="18"/>
        </w:rPr>
        <w:t>advisory</w:t>
      </w:r>
    </w:p>
    <w:p>
      <w:pPr>
        <w:pStyle w:val="BodyText"/>
        <w:spacing w:line="268" w:lineRule="auto" w:before="14"/>
        <w:ind w:left="486" w:right="226" w:hanging="1"/>
        <w:jc w:val="center"/>
      </w:pPr>
      <w:r>
        <w:rPr>
          <w:color w:val="0C0C0C"/>
          <w:w w:val="105"/>
        </w:rPr>
        <w:t>Experienced attorney with eight years of success in civil litigation, contract negotiation, and compliance advisory. Adept at representing clients in court and providing strategic legal counsel to corporations.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2"/>
      </w:pPr>
      <w:r>
        <w:rPr>
          <w:color w:val="0C0C0C"/>
          <w:sz w:val="37"/>
        </w:rPr>
        <w:t>P</w:t>
      </w:r>
      <w:r>
        <w:rPr>
          <w:color w:val="0C0C0C"/>
        </w:rPr>
        <w:t>rofessional</w:t>
      </w:r>
      <w:r>
        <w:rPr>
          <w:color w:val="0C0C0C"/>
          <w:spacing w:val="39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331" w:lineRule="auto" w:before="248"/>
        <w:ind w:left="117" w:right="144"/>
      </w:pPr>
      <w:r>
        <w:rPr>
          <w:w w:val="105"/>
        </w:rPr>
        <w:t>ASSOCIATE</w:t>
      </w:r>
      <w:r>
        <w:rPr>
          <w:spacing w:val="-9"/>
          <w:w w:val="105"/>
        </w:rPr>
        <w:t> </w:t>
      </w:r>
      <w:r>
        <w:rPr>
          <w:w w:val="105"/>
        </w:rPr>
        <w:t>ATTORNEY</w:t>
      </w:r>
      <w:r>
        <w:rPr>
          <w:spacing w:val="-2"/>
          <w:w w:val="105"/>
        </w:rPr>
        <w:t> </w:t>
      </w:r>
      <w:r>
        <w:rPr>
          <w:w w:val="105"/>
        </w:rPr>
        <w:t>| HARPER &amp; LANE LLP, SAN FRANCISCO, CA SEPTEMBER 2017 - PRESENT</w:t>
      </w:r>
    </w:p>
    <w:p>
      <w:pPr>
        <w:pStyle w:val="BodyText"/>
        <w:spacing w:line="278" w:lineRule="auto" w:before="193"/>
        <w:ind w:left="637" w:right="375"/>
      </w:pPr>
      <w:r>
        <w:rPr>
          <w:w w:val="105"/>
        </w:rPr>
        <w:t>Successfully litigated over 50 civil cases, achieving favorable outcomes in</w:t>
      </w:r>
      <w:r>
        <w:rPr>
          <w:spacing w:val="40"/>
          <w:w w:val="105"/>
        </w:rPr>
        <w:t> </w:t>
      </w:r>
      <w:r>
        <w:rPr>
          <w:w w:val="105"/>
        </w:rPr>
        <w:t>85% of trials</w:t>
      </w:r>
    </w:p>
    <w:p>
      <w:pPr>
        <w:pStyle w:val="BodyText"/>
        <w:spacing w:line="278" w:lineRule="auto" w:before="75"/>
        <w:ind w:left="637" w:right="144"/>
      </w:pPr>
      <w:r>
        <w:rPr>
          <w:w w:val="105"/>
        </w:rPr>
        <w:t>Advised corporate clients on compliance with regulatory standards, reducing</w:t>
      </w:r>
      <w:r>
        <w:rPr>
          <w:spacing w:val="80"/>
          <w:w w:val="105"/>
        </w:rPr>
        <w:t> </w:t>
      </w:r>
      <w:r>
        <w:rPr>
          <w:w w:val="105"/>
        </w:rPr>
        <w:t>legal risks by 20% annually</w:t>
      </w:r>
    </w:p>
    <w:p>
      <w:pPr>
        <w:pStyle w:val="BodyText"/>
        <w:spacing w:line="261" w:lineRule="auto" w:before="90"/>
        <w:ind w:left="637" w:right="144"/>
      </w:pPr>
      <w:r>
        <w:rPr>
          <w:w w:val="105"/>
        </w:rPr>
        <w:t>Drafted and reviewed contracts worth over $5 million, ensuring legal accuracy</w:t>
      </w:r>
      <w:r>
        <w:rPr>
          <w:spacing w:val="40"/>
          <w:w w:val="105"/>
        </w:rPr>
        <w:t> </w:t>
      </w:r>
      <w:r>
        <w:rPr>
          <w:w w:val="105"/>
        </w:rPr>
        <w:t>and risk mitigation</w:t>
      </w:r>
    </w:p>
    <w:p>
      <w:pPr>
        <w:pStyle w:val="BodyText"/>
        <w:spacing w:before="32"/>
      </w:pPr>
    </w:p>
    <w:p>
      <w:pPr>
        <w:pStyle w:val="BodyText"/>
        <w:spacing w:line="331" w:lineRule="auto"/>
        <w:ind w:left="117" w:right="1170"/>
      </w:pPr>
      <w:r>
        <w:rPr>
          <w:w w:val="105"/>
        </w:rPr>
        <w:t>LITIGATION</w:t>
      </w:r>
      <w:r>
        <w:rPr>
          <w:spacing w:val="-6"/>
          <w:w w:val="105"/>
        </w:rPr>
        <w:t> </w:t>
      </w:r>
      <w:r>
        <w:rPr>
          <w:w w:val="105"/>
        </w:rPr>
        <w:t>ASSOCIATE | WEST &amp; CO., SAN FRANCISCO, CA AUGUST 2015 - AUGUST 2017</w:t>
      </w:r>
    </w:p>
    <w:p>
      <w:pPr>
        <w:pStyle w:val="BodyText"/>
        <w:spacing w:line="364" w:lineRule="auto" w:before="194"/>
        <w:ind w:left="637" w:right="144"/>
      </w:pPr>
      <w:r>
        <w:rPr>
          <w:w w:val="105"/>
        </w:rPr>
        <w:t>Represented clients in court proceedings, mediations, and arbitrations</w:t>
      </w:r>
      <w:r>
        <w:rPr>
          <w:spacing w:val="40"/>
          <w:w w:val="105"/>
        </w:rPr>
        <w:t> </w:t>
      </w:r>
      <w:r>
        <w:rPr>
          <w:w w:val="105"/>
        </w:rPr>
        <w:t>Conducted</w:t>
      </w:r>
      <w:r>
        <w:rPr>
          <w:spacing w:val="40"/>
          <w:w w:val="105"/>
        </w:rPr>
        <w:t> </w:t>
      </w:r>
      <w:r>
        <w:rPr>
          <w:w w:val="105"/>
        </w:rPr>
        <w:t>detailed</w:t>
      </w:r>
      <w:r>
        <w:rPr>
          <w:spacing w:val="40"/>
          <w:w w:val="105"/>
        </w:rPr>
        <w:t> </w:t>
      </w:r>
      <w:r>
        <w:rPr>
          <w:w w:val="105"/>
        </w:rPr>
        <w:t>legal</w:t>
      </w:r>
      <w:r>
        <w:rPr>
          <w:spacing w:val="40"/>
          <w:w w:val="105"/>
        </w:rPr>
        <w:t> </w:t>
      </w:r>
      <w:r>
        <w:rPr>
          <w:w w:val="105"/>
        </w:rPr>
        <w:t>research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support</w:t>
      </w:r>
      <w:r>
        <w:rPr>
          <w:spacing w:val="40"/>
          <w:w w:val="105"/>
        </w:rPr>
        <w:t> </w:t>
      </w:r>
      <w:r>
        <w:rPr>
          <w:w w:val="105"/>
        </w:rPr>
        <w:t>case</w:t>
      </w:r>
      <w:r>
        <w:rPr>
          <w:spacing w:val="40"/>
          <w:w w:val="105"/>
        </w:rPr>
        <w:t> </w:t>
      </w:r>
      <w:r>
        <w:rPr>
          <w:w w:val="105"/>
        </w:rPr>
        <w:t>strategies</w:t>
      </w:r>
    </w:p>
    <w:p>
      <w:pPr>
        <w:pStyle w:val="Heading2"/>
        <w:spacing w:before="152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1020" w:bottom="280" w:left="180" w:right="400"/>
          <w:cols w:num="2" w:equalWidth="0">
            <w:col w:w="2699" w:space="1114"/>
            <w:col w:w="7527"/>
          </w:cols>
        </w:sectPr>
      </w:pPr>
    </w:p>
    <w:p>
      <w:pPr>
        <w:pStyle w:val="BodyText"/>
        <w:spacing w:before="4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9526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526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3286125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4400550"/>
                            <a:ext cx="190500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60985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190500" h="2609850">
                                <a:moveTo>
                                  <a:pt x="190500" y="1858797"/>
                                </a:moveTo>
                                <a:lnTo>
                                  <a:pt x="170040" y="1838325"/>
                                </a:lnTo>
                                <a:lnTo>
                                  <a:pt x="163347" y="1838325"/>
                                </a:lnTo>
                                <a:lnTo>
                                  <a:pt x="142875" y="1858797"/>
                                </a:lnTo>
                                <a:lnTo>
                                  <a:pt x="142875" y="1862366"/>
                                </a:lnTo>
                                <a:lnTo>
                                  <a:pt x="142875" y="1865490"/>
                                </a:lnTo>
                                <a:lnTo>
                                  <a:pt x="163347" y="1885950"/>
                                </a:lnTo>
                                <a:lnTo>
                                  <a:pt x="170040" y="1885950"/>
                                </a:lnTo>
                                <a:lnTo>
                                  <a:pt x="190500" y="1865490"/>
                                </a:lnTo>
                                <a:lnTo>
                                  <a:pt x="190500" y="1858797"/>
                                </a:lnTo>
                                <a:close/>
                              </a:path>
                              <a:path w="190500" h="2609850">
                                <a:moveTo>
                                  <a:pt x="190500" y="1658772"/>
                                </a:moveTo>
                                <a:lnTo>
                                  <a:pt x="170040" y="1638300"/>
                                </a:lnTo>
                                <a:lnTo>
                                  <a:pt x="163347" y="1638300"/>
                                </a:lnTo>
                                <a:lnTo>
                                  <a:pt x="142875" y="1658772"/>
                                </a:lnTo>
                                <a:lnTo>
                                  <a:pt x="142875" y="1662341"/>
                                </a:lnTo>
                                <a:lnTo>
                                  <a:pt x="142875" y="166546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70040" y="1685925"/>
                                </a:lnTo>
                                <a:lnTo>
                                  <a:pt x="190500" y="1665465"/>
                                </a:lnTo>
                                <a:lnTo>
                                  <a:pt x="190500" y="1658772"/>
                                </a:lnTo>
                                <a:close/>
                              </a:path>
                              <a:path w="190500" h="2609850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26098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6098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601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075" id="docshape10" coordorigin="480,6510" coordsize="331,3075" path="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5175;width:7590;height:30" id="docshape11" filled="true" fillcolor="#000000" stroked="false">
                  <v:fill opacity="32899f" type="solid"/>
                </v:rect>
                <v:shape style="position:absolute;left:4109;top:6930;width:300;height:4110" id="docshape12" coordorigin="4110,6930" coordsize="300,4110" path="m4185,10997l4184,10992,4180,10983,4178,10979,4171,10972,4167,10970,4158,10966,4153,10965,4142,10965,4137,10966,4128,10970,4124,10972,4117,10979,4115,10983,4111,10992,4110,10997,4110,11003,4110,11008,4111,11013,4115,11022,4117,11026,4124,11033,4128,11035,4137,11039,4142,11040,4153,11040,4158,11039,4167,11035,4171,11033,4178,11026,4180,11022,4184,11013,4185,11008,4185,10997xm4410,9857l4409,9852,4405,9843,4403,9839,4396,9832,4392,9830,4383,9826,4378,9825,4367,9825,4362,9826,4353,9830,4349,9832,4342,9839,4340,9843,4336,9852,4335,9857,4335,9863,4335,9868,4336,9873,4340,9882,4342,9886,4349,9893,4353,9895,4362,9899,4367,9900,4378,9900,4383,9899,4392,9895,4396,9893,4403,9886,4405,9882,4409,9873,4410,9868,4410,9857xm4410,9542l4409,9537,4405,9528,4403,9524,4396,9517,4392,9515,4383,9511,4378,9510,4367,9510,4362,9511,4353,9515,4349,9517,4342,9524,4340,9528,4336,9537,4335,9542,4335,9548,4335,9553,4336,9558,4340,9567,4342,9571,4349,9578,4353,9580,4362,9584,4367,9585,4378,9585,4383,9584,4392,9580,4396,9578,4403,9571,4405,9567,4409,9558,4410,9553,4410,9542xm4410,8087l4409,8082,4405,8073,4403,8069,4396,8062,4392,8060,4383,8056,4378,8055,4367,8055,4362,8056,4353,8060,4349,8062,4342,8069,4340,8073,4336,8082,4335,8087,4335,8093,4335,8098,4336,8103,4340,8112,4342,8116,4349,8123,4353,8125,4362,8129,4367,8130,4378,8130,4383,8129,4392,8125,4396,8123,4403,8116,4405,8112,4409,8103,4410,8098,4410,8087xm4410,7517l4409,7512,4405,7503,4403,7499,4396,7492,4392,7490,4383,7486,4378,7485,4367,7485,4362,7486,4353,7490,4349,7492,4342,7499,4340,7503,4336,7512,4335,7517,4335,7523,4335,7528,4336,7533,4340,7542,4342,7546,4349,7553,4353,7555,4362,7559,4367,7560,4378,7560,4383,7559,4392,7555,4396,7553,4403,7546,4405,7542,4409,7533,4410,7528,4410,7517xm4410,6962l4409,6957,4405,6948,4403,6944,4396,6937,4392,6935,4383,6931,4378,6930,4367,6930,4362,6931,4353,6935,4349,6937,4342,6944,4340,6948,4336,6957,4335,6962,4335,6968,4335,6973,4336,6978,4340,6987,4342,6991,4349,6998,4353,7000,4362,7004,4367,7005,4378,7005,4383,7004,4392,7000,4396,6998,4403,6991,4405,6987,4409,6978,4410,6973,4410,69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227"/>
      </w:pPr>
      <w:r>
        <w:rPr>
          <w:w w:val="105"/>
        </w:rPr>
        <w:t>Juris</w:t>
      </w:r>
      <w:r>
        <w:rPr>
          <w:spacing w:val="15"/>
          <w:w w:val="105"/>
        </w:rPr>
        <w:t> </w:t>
      </w:r>
      <w:r>
        <w:rPr>
          <w:w w:val="105"/>
        </w:rPr>
        <w:t>Doctor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(J.D.)</w:t>
      </w:r>
    </w:p>
    <w:p>
      <w:pPr>
        <w:pStyle w:val="BodyText"/>
        <w:spacing w:line="261" w:lineRule="auto" w:before="78"/>
        <w:ind w:left="4227" w:right="187"/>
      </w:pPr>
      <w:r>
        <w:rPr>
          <w:w w:val="105"/>
        </w:rPr>
        <w:t>University of California, Hastings College of the Law, San Francisco, CA | May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1020" w:bottom="280" w:left="1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084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2025-11-27T03:36:56Z</dcterms:created>
  <dcterms:modified xsi:type="dcterms:W3CDTF">2025-11-27T03:36:56Z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