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left="0"/>
        <w:rPr>
          <w:rFonts w:ascii="Times New Roman"/>
          <w:sz w:val="82"/>
        </w:rPr>
      </w:pPr>
    </w:p>
    <w:p>
      <w:pPr>
        <w:pStyle w:val="Title"/>
      </w:pPr>
      <w:r>
        <w:rPr>
          <w:color w:val="030303"/>
        </w:rPr>
        <w:t>Morgan</w:t>
      </w:r>
      <w:r>
        <w:rPr>
          <w:color w:val="030303"/>
          <w:spacing w:val="-17"/>
        </w:rPr>
        <w:t> </w:t>
      </w:r>
      <w:r>
        <w:rPr>
          <w:color w:val="B45D08"/>
          <w:spacing w:val="-2"/>
        </w:rPr>
        <w:t>Johnson</w:t>
      </w:r>
    </w:p>
    <w:p>
      <w:pPr>
        <w:pStyle w:val="Heading1"/>
        <w:spacing w:before="154"/>
        <w:ind w:left="3246"/>
        <w:jc w:val="center"/>
      </w:pPr>
      <w:r>
        <w:rPr>
          <w:color w:val="030303"/>
        </w:rPr>
        <w:t>Identity</w:t>
      </w:r>
      <w:r>
        <w:rPr>
          <w:color w:val="030303"/>
          <w:spacing w:val="19"/>
        </w:rPr>
        <w:t> </w:t>
      </w:r>
      <w:r>
        <w:rPr>
          <w:color w:val="030303"/>
        </w:rPr>
        <w:t>and</w:t>
      </w:r>
      <w:r>
        <w:rPr>
          <w:color w:val="030303"/>
          <w:spacing w:val="19"/>
        </w:rPr>
        <w:t> </w:t>
      </w:r>
      <w:r>
        <w:rPr>
          <w:color w:val="030303"/>
        </w:rPr>
        <w:t>Access</w:t>
      </w:r>
      <w:r>
        <w:rPr>
          <w:color w:val="030303"/>
          <w:spacing w:val="19"/>
        </w:rPr>
        <w:t> </w:t>
      </w:r>
      <w:r>
        <w:rPr>
          <w:color w:val="030303"/>
        </w:rPr>
        <w:t>Management</w:t>
      </w:r>
      <w:r>
        <w:rPr>
          <w:color w:val="030303"/>
          <w:spacing w:val="20"/>
        </w:rPr>
        <w:t> </w:t>
      </w:r>
      <w:r>
        <w:rPr>
          <w:color w:val="030303"/>
        </w:rPr>
        <w:t>(IAM)</w:t>
      </w:r>
      <w:r>
        <w:rPr>
          <w:color w:val="030303"/>
          <w:spacing w:val="19"/>
        </w:rPr>
        <w:t> </w:t>
      </w:r>
      <w:r>
        <w:rPr>
          <w:color w:val="030303"/>
          <w:spacing w:val="-2"/>
        </w:rPr>
        <w:t>Analyst</w:t>
      </w:r>
    </w:p>
    <w:p>
      <w:pPr>
        <w:spacing w:line="273" w:lineRule="auto" w:before="179"/>
        <w:ind w:left="3637" w:right="392" w:hanging="1"/>
        <w:jc w:val="center"/>
        <w:rPr>
          <w:sz w:val="16"/>
        </w:rPr>
      </w:pPr>
      <w:r>
        <w:rPr>
          <w:color w:val="030303"/>
          <w:w w:val="105"/>
          <w:sz w:val="16"/>
        </w:rPr>
        <w:t>IAM analyst with 6 years of experience designing access controls, managing provisioning</w:t>
      </w:r>
      <w:r>
        <w:rPr>
          <w:color w:val="030303"/>
          <w:spacing w:val="80"/>
          <w:w w:val="105"/>
          <w:sz w:val="16"/>
        </w:rPr>
        <w:t> </w:t>
      </w:r>
      <w:r>
        <w:rPr>
          <w:color w:val="030303"/>
          <w:w w:val="105"/>
          <w:sz w:val="16"/>
        </w:rPr>
        <w:t>workflows, and conducting entitlement reviews. Experienced in SailPoint, Okta, and Microsoft</w:t>
      </w:r>
      <w:r>
        <w:rPr>
          <w:color w:val="030303"/>
          <w:spacing w:val="80"/>
          <w:w w:val="105"/>
          <w:sz w:val="16"/>
        </w:rPr>
        <w:t> </w:t>
      </w:r>
      <w:r>
        <w:rPr>
          <w:color w:val="030303"/>
          <w:w w:val="105"/>
          <w:sz w:val="16"/>
        </w:rPr>
        <w:t>Azure AD. Specializes in reducing risk through least-privilege enforcement, role-based access</w:t>
      </w:r>
      <w:r>
        <w:rPr>
          <w:color w:val="030303"/>
          <w:spacing w:val="80"/>
          <w:w w:val="105"/>
          <w:sz w:val="16"/>
        </w:rPr>
        <w:t> </w:t>
      </w:r>
      <w:r>
        <w:rPr>
          <w:color w:val="030303"/>
          <w:w w:val="105"/>
          <w:sz w:val="16"/>
        </w:rPr>
        <w:t>models, and regular access audits.</w:t>
      </w:r>
    </w:p>
    <w:p>
      <w:pPr>
        <w:pStyle w:val="BodyText"/>
        <w:spacing w:before="4"/>
        <w:ind w:left="0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105485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05972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ind w:left="0"/>
        <w:rPr>
          <w:sz w:val="29"/>
        </w:rPr>
      </w:pPr>
    </w:p>
    <w:p>
      <w:pPr>
        <w:pStyle w:val="Heading1"/>
        <w:ind w:left="3644"/>
      </w:pPr>
      <w:r>
        <w:rPr>
          <w:color w:val="030303"/>
        </w:rPr>
        <w:t>PROFESSIONAL</w:t>
      </w:r>
      <w:r>
        <w:rPr>
          <w:color w:val="030303"/>
          <w:spacing w:val="-2"/>
        </w:rPr>
        <w:t> EXPERIENCE</w:t>
      </w:r>
    </w:p>
    <w:p>
      <w:pPr>
        <w:pStyle w:val="BodyText"/>
        <w:spacing w:before="280"/>
        <w:ind w:left="3737"/>
      </w:pPr>
      <w:r>
        <w:rPr/>
        <w:t>IAM</w:t>
      </w:r>
      <w:r>
        <w:rPr>
          <w:spacing w:val="3"/>
        </w:rPr>
        <w:t> </w:t>
      </w:r>
      <w:r>
        <w:rPr/>
        <w:t>ANALYST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ALIGNCORP</w:t>
      </w:r>
      <w:r>
        <w:rPr>
          <w:spacing w:val="8"/>
        </w:rPr>
        <w:t> </w:t>
      </w:r>
      <w:r>
        <w:rPr/>
        <w:t>TECHNOLOGIES,</w:t>
      </w:r>
      <w:r>
        <w:rPr>
          <w:spacing w:val="17"/>
        </w:rPr>
        <w:t> </w:t>
      </w:r>
      <w:r>
        <w:rPr/>
        <w:t>INDIANAPOLIS,</w:t>
      </w:r>
      <w:r>
        <w:rPr>
          <w:spacing w:val="17"/>
        </w:rPr>
        <w:t> </w:t>
      </w:r>
      <w:r>
        <w:rPr>
          <w:spacing w:val="-5"/>
        </w:rPr>
        <w:t>IN</w:t>
      </w:r>
    </w:p>
    <w:p>
      <w:pPr>
        <w:pStyle w:val="BodyText"/>
        <w:spacing w:before="18"/>
        <w:ind w:left="3737"/>
      </w:pPr>
      <w:r>
        <w:rPr/>
        <w:t>MAY</w:t>
      </w:r>
      <w:r>
        <w:rPr>
          <w:spacing w:val="-4"/>
        </w:rPr>
        <w:t> </w:t>
      </w:r>
      <w:r>
        <w:rPr/>
        <w:t>2020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before="14"/>
        <w:ind w:left="0"/>
      </w:pP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189" w:lineRule="auto" w:before="1" w:after="0"/>
        <w:ind w:left="4276" w:right="803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identity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lifecycle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1,800+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users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apps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SaaS platforms, reducing provisioning delays by 70%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201" w:lineRule="auto" w:before="97" w:after="0"/>
        <w:ind w:left="4276" w:right="454" w:hanging="298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SailPoint,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removing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400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unused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or excessive entitlements to improve compliance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201" w:lineRule="auto" w:before="82" w:after="0"/>
        <w:ind w:left="4276" w:right="554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automated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offboarding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process, reducing orphaned accounts by 88%</w:t>
      </w:r>
    </w:p>
    <w:p>
      <w:pPr>
        <w:pStyle w:val="BodyText"/>
        <w:spacing w:before="148"/>
        <w:ind w:left="0"/>
      </w:pPr>
    </w:p>
    <w:p>
      <w:pPr>
        <w:pStyle w:val="BodyText"/>
        <w:ind w:left="3737"/>
      </w:pPr>
      <w:r>
        <w:rPr/>
        <w:t>HELP</w:t>
      </w:r>
      <w:r>
        <w:rPr>
          <w:spacing w:val="6"/>
        </w:rPr>
        <w:t> </w:t>
      </w:r>
      <w:r>
        <w:rPr/>
        <w:t>DESK</w:t>
      </w:r>
      <w:r>
        <w:rPr>
          <w:spacing w:val="-1"/>
        </w:rPr>
        <w:t> </w:t>
      </w:r>
      <w:r>
        <w:rPr/>
        <w:t>ANALYST</w:t>
      </w:r>
      <w:r>
        <w:rPr>
          <w:spacing w:val="14"/>
        </w:rPr>
        <w:t> </w:t>
      </w:r>
      <w:r>
        <w:rPr/>
        <w:t>|</w:t>
      </w:r>
      <w:r>
        <w:rPr>
          <w:spacing w:val="15"/>
        </w:rPr>
        <w:t> </w:t>
      </w:r>
      <w:r>
        <w:rPr/>
        <w:t>INTERLOCK</w:t>
      </w:r>
      <w:r>
        <w:rPr>
          <w:spacing w:val="11"/>
        </w:rPr>
        <w:t> </w:t>
      </w:r>
      <w:r>
        <w:rPr/>
        <w:t>SYSTEMS,</w:t>
      </w:r>
      <w:r>
        <w:rPr>
          <w:spacing w:val="10"/>
        </w:rPr>
        <w:t> </w:t>
      </w:r>
      <w:r>
        <w:rPr/>
        <w:t>FORT</w:t>
      </w:r>
      <w:r>
        <w:rPr>
          <w:spacing w:val="6"/>
        </w:rPr>
        <w:t> </w:t>
      </w:r>
      <w:r>
        <w:rPr/>
        <w:t>WAYNE,</w:t>
      </w:r>
      <w:r>
        <w:rPr>
          <w:spacing w:val="11"/>
        </w:rPr>
        <w:t> </w:t>
      </w:r>
      <w:r>
        <w:rPr>
          <w:spacing w:val="-5"/>
        </w:rPr>
        <w:t>IN</w:t>
      </w:r>
    </w:p>
    <w:p>
      <w:pPr>
        <w:pStyle w:val="BodyText"/>
        <w:spacing w:before="18"/>
        <w:ind w:left="3737"/>
      </w:pPr>
      <w:r>
        <w:rPr/>
        <w:t>AUGUST</w:t>
      </w:r>
      <w:r>
        <w:rPr>
          <w:spacing w:val="-2"/>
        </w:rPr>
        <w:t> </w:t>
      </w:r>
      <w:r>
        <w:rPr/>
        <w:t>2017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APRIL</w:t>
      </w:r>
      <w:r>
        <w:rPr>
          <w:spacing w:val="-2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0" w:bottom="0" w:left="540" w:right="100"/>
        </w:sectPr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36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Access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audits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2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Active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Directory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z w:val="18"/>
        </w:rPr>
        <w:t>Azure</w:t>
      </w:r>
      <w:r>
        <w:rPr>
          <w:color w:val="F5F5F5"/>
          <w:spacing w:val="1"/>
          <w:sz w:val="18"/>
        </w:rPr>
        <w:t> </w:t>
      </w:r>
      <w:r>
        <w:rPr>
          <w:color w:val="F5F5F5"/>
          <w:spacing w:val="-5"/>
          <w:sz w:val="18"/>
        </w:rPr>
        <w:t>AD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Entitlement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reviews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25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Identity</w:t>
      </w:r>
      <w:r>
        <w:rPr>
          <w:color w:val="F5F5F5"/>
          <w:spacing w:val="11"/>
          <w:sz w:val="18"/>
        </w:rPr>
        <w:t> </w:t>
      </w:r>
      <w:r>
        <w:rPr>
          <w:color w:val="F5F5F5"/>
          <w:sz w:val="18"/>
        </w:rPr>
        <w:t>lifecycle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06" w:lineRule="exact" w:before="0" w:after="0"/>
        <w:ind w:left="406" w:right="0" w:hanging="296"/>
        <w:jc w:val="left"/>
        <w:rPr>
          <w:color w:val="F5F5F5"/>
          <w:position w:val="-3"/>
          <w:sz w:val="31"/>
        </w:rPr>
      </w:pPr>
      <w:r>
        <w:rPr>
          <w:color w:val="F5F5F5"/>
          <w:sz w:val="18"/>
        </w:rPr>
        <w:t>Least-privilege</w:t>
      </w:r>
      <w:r>
        <w:rPr>
          <w:color w:val="F5F5F5"/>
          <w:spacing w:val="22"/>
          <w:sz w:val="18"/>
        </w:rPr>
        <w:t> </w:t>
      </w:r>
      <w:r>
        <w:rPr>
          <w:color w:val="F5F5F5"/>
          <w:spacing w:val="-2"/>
          <w:sz w:val="18"/>
        </w:rPr>
        <w:t>enforcement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  <w:tab w:pos="408" w:val="left" w:leader="none"/>
        </w:tabs>
        <w:spacing w:line="201" w:lineRule="auto" w:before="195" w:after="0"/>
        <w:ind w:left="408" w:right="116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Handled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MFA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resets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users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while documenting recurring issues to optimize support workﬂows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  <w:tab w:pos="408" w:val="left" w:leader="none"/>
        </w:tabs>
        <w:spacing w:line="189" w:lineRule="auto" w:before="109" w:after="0"/>
        <w:ind w:left="408" w:right="117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knowledge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base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articles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IAM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processes,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new team members by 50%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  <w:tab w:pos="408" w:val="left" w:leader="none"/>
        </w:tabs>
        <w:spacing w:line="189" w:lineRule="auto" w:before="109" w:after="0"/>
        <w:ind w:left="408" w:right="295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ﬂag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access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violations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 Active Directory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0" w:bottom="0" w:left="540" w:right="100"/>
          <w:cols w:num="2" w:equalWidth="0">
            <w:col w:w="2897" w:space="971"/>
            <w:col w:w="7412"/>
          </w:cols>
        </w:sectPr>
      </w:pP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2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93630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936307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709527"/>
                            <a:ext cx="45910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328527"/>
                            <a:ext cx="151701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morgan.johnson@email.com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814-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5532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1376" id="docshapegroup2" coordorigin="0,0" coordsize="3945,16860">
                <v:shape style="position:absolute;left:0;top:0;width:3795;height:16860" id="docshape3" coordorigin="0,0" coordsize="3795,16860" path="m3795,7605l0,7605,0,14745,0,16860,3795,16860,3795,14745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96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723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241;width:238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morgan.johnson@email.com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814-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5532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3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Offboarding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workﬂows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Okta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Provisioning</w:t>
      </w:r>
      <w:r>
        <w:rPr>
          <w:color w:val="F5F5F5"/>
          <w:spacing w:val="19"/>
          <w:sz w:val="18"/>
        </w:rPr>
        <w:t> </w:t>
      </w:r>
      <w:r>
        <w:rPr>
          <w:color w:val="F5F5F5"/>
          <w:spacing w:val="-2"/>
          <w:sz w:val="18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SailPoint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governance</w:t>
      </w:r>
    </w:p>
    <w:p>
      <w:pPr>
        <w:pStyle w:val="Heading1"/>
        <w:spacing w:before="90"/>
      </w:pPr>
      <w:r>
        <w:rPr>
          <w:b w:val="0"/>
        </w:rPr>
        <w:br w:type="column"/>
      </w:r>
      <w:r>
        <w:rPr>
          <w:color w:val="030303"/>
          <w:spacing w:val="-2"/>
        </w:rPr>
        <w:t>EDUCATION</w:t>
      </w:r>
    </w:p>
    <w:p>
      <w:pPr>
        <w:pStyle w:val="BodyText"/>
        <w:spacing w:line="278" w:lineRule="auto" w:before="279"/>
        <w:ind w:left="203" w:right="243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Information</w:t>
      </w:r>
      <w:r>
        <w:rPr>
          <w:spacing w:val="-13"/>
          <w:w w:val="105"/>
        </w:rPr>
        <w:t> </w:t>
      </w:r>
      <w:r>
        <w:rPr>
          <w:w w:val="105"/>
        </w:rPr>
        <w:t>Technology</w:t>
      </w:r>
      <w:r>
        <w:rPr>
          <w:spacing w:val="-13"/>
          <w:w w:val="105"/>
        </w:rPr>
        <w:t> </w:t>
      </w:r>
      <w:r>
        <w:rPr>
          <w:w w:val="105"/>
        </w:rPr>
        <w:t>Security Indiana University, Bloomington, IN | February 2017</w:t>
      </w:r>
    </w:p>
    <w:p>
      <w:pPr>
        <w:pStyle w:val="BodyText"/>
        <w:spacing w:before="50"/>
        <w:ind w:left="0"/>
      </w:pPr>
    </w:p>
    <w:p>
      <w:pPr>
        <w:pStyle w:val="Heading1"/>
      </w:pPr>
      <w:r>
        <w:rPr>
          <w:color w:val="030303"/>
          <w:spacing w:val="-2"/>
        </w:rPr>
        <w:t>CERTIFICATIONS</w:t>
      </w:r>
    </w:p>
    <w:p>
      <w:pPr>
        <w:pStyle w:val="BodyText"/>
        <w:spacing w:line="261" w:lineRule="auto" w:before="280"/>
        <w:ind w:left="203"/>
      </w:pPr>
      <w:r>
        <w:rPr>
          <w:w w:val="105"/>
        </w:rPr>
        <w:t>Certiﬁed</w:t>
      </w:r>
      <w:r>
        <w:rPr>
          <w:spacing w:val="-8"/>
          <w:w w:val="105"/>
        </w:rPr>
        <w:t> </w:t>
      </w:r>
      <w:r>
        <w:rPr>
          <w:w w:val="105"/>
        </w:rPr>
        <w:t>Identity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Access</w:t>
      </w:r>
      <w:r>
        <w:rPr>
          <w:spacing w:val="-8"/>
          <w:w w:val="105"/>
        </w:rPr>
        <w:t> </w:t>
      </w:r>
      <w:r>
        <w:rPr>
          <w:w w:val="105"/>
        </w:rPr>
        <w:t>Manager</w:t>
      </w:r>
      <w:r>
        <w:rPr>
          <w:spacing w:val="-8"/>
          <w:w w:val="105"/>
        </w:rPr>
        <w:t> </w:t>
      </w:r>
      <w:r>
        <w:rPr>
          <w:w w:val="105"/>
        </w:rPr>
        <w:t>(CIAM),</w:t>
      </w:r>
      <w:r>
        <w:rPr>
          <w:spacing w:val="-8"/>
          <w:w w:val="105"/>
        </w:rPr>
        <w:t> </w:t>
      </w:r>
      <w:r>
        <w:rPr>
          <w:w w:val="105"/>
        </w:rPr>
        <w:t>Identity</w:t>
      </w:r>
      <w:r>
        <w:rPr>
          <w:spacing w:val="-8"/>
          <w:w w:val="105"/>
        </w:rPr>
        <w:t> </w:t>
      </w:r>
      <w:r>
        <w:rPr>
          <w:w w:val="105"/>
        </w:rPr>
        <w:t>Management</w:t>
      </w:r>
      <w:r>
        <w:rPr>
          <w:spacing w:val="-8"/>
          <w:w w:val="105"/>
        </w:rPr>
        <w:t> </w:t>
      </w:r>
      <w:r>
        <w:rPr>
          <w:w w:val="105"/>
        </w:rPr>
        <w:t>Institute,</w:t>
      </w:r>
      <w:r>
        <w:rPr>
          <w:spacing w:val="-8"/>
          <w:w w:val="105"/>
        </w:rPr>
        <w:t> </w:t>
      </w:r>
      <w:r>
        <w:rPr>
          <w:w w:val="105"/>
        </w:rPr>
        <w:t>February </w:t>
      </w:r>
      <w:r>
        <w:rPr>
          <w:spacing w:val="-4"/>
          <w:w w:val="105"/>
        </w:rPr>
        <w:t>2021</w:t>
      </w:r>
    </w:p>
    <w:p>
      <w:pPr>
        <w:pStyle w:val="BodyText"/>
        <w:spacing w:before="103"/>
        <w:ind w:left="203"/>
      </w:pPr>
      <w:r>
        <w:rPr>
          <w:spacing w:val="-2"/>
          <w:w w:val="105"/>
        </w:rPr>
        <w:t>Okta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Certiﬁed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Administrator,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Okta,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2020</w:t>
      </w:r>
    </w:p>
    <w:sectPr>
      <w:type w:val="continuous"/>
      <w:pgSz w:w="11920" w:h="16860"/>
      <w:pgMar w:top="0" w:bottom="0" w:left="540" w:right="100"/>
      <w:cols w:num="2" w:equalWidth="0">
        <w:col w:w="2433" w:space="1101"/>
        <w:col w:w="77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9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0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246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organ.johnson@email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2025-11-26T23:21:25Z</dcterms:created>
  <dcterms:modified xsi:type="dcterms:W3CDTF">2025-11-26T23:21:25Z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