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4055" w:right="18" w:firstLine="0"/>
        <w:jc w:val="center"/>
        <w:rPr>
          <w:rFonts w:ascii="Microsoft Sans Serif"/>
          <w:sz w:val="96"/>
        </w:rPr>
      </w:pPr>
      <w:r>
        <w:rPr>
          <w:b/>
          <w:color w:val="FFFFFF"/>
          <w:spacing w:val="-8"/>
          <w:sz w:val="96"/>
        </w:rPr>
        <w:t>CASEY</w:t>
      </w:r>
      <w:r>
        <w:rPr>
          <w:b/>
          <w:color w:val="FFFFFF"/>
          <w:spacing w:val="-52"/>
          <w:sz w:val="96"/>
        </w:rPr>
        <w:t> </w:t>
      </w:r>
      <w:r>
        <w:rPr>
          <w:rFonts w:ascii="Microsoft Sans Serif"/>
          <w:color w:val="FFFFFF"/>
          <w:spacing w:val="-2"/>
          <w:sz w:val="96"/>
        </w:rPr>
        <w:t>DAVIS</w:t>
      </w:r>
    </w:p>
    <w:p>
      <w:pPr>
        <w:spacing w:before="104"/>
        <w:ind w:left="4055" w:right="0" w:firstLine="0"/>
        <w:jc w:val="center"/>
        <w:rPr>
          <w:b/>
          <w:sz w:val="28"/>
        </w:rPr>
      </w:pPr>
      <w:r>
        <w:rPr>
          <w:b/>
          <w:color w:val="FFFFFF"/>
          <w:spacing w:val="-8"/>
          <w:sz w:val="28"/>
        </w:rPr>
        <w:t>CPA</w:t>
      </w:r>
      <w:r>
        <w:rPr>
          <w:b/>
          <w:color w:val="FFFFFF"/>
          <w:spacing w:val="-9"/>
          <w:sz w:val="28"/>
        </w:rPr>
        <w:t> </w:t>
      </w:r>
      <w:r>
        <w:rPr>
          <w:b/>
          <w:color w:val="FFFFFF"/>
          <w:spacing w:val="-8"/>
          <w:sz w:val="28"/>
        </w:rPr>
        <w:t>Financial</w:t>
      </w:r>
      <w:r>
        <w:rPr>
          <w:b/>
          <w:color w:val="FFFFFF"/>
          <w:spacing w:val="-9"/>
          <w:sz w:val="28"/>
        </w:rPr>
        <w:t> </w:t>
      </w:r>
      <w:r>
        <w:rPr>
          <w:b/>
          <w:color w:val="FFFFFF"/>
          <w:spacing w:val="-8"/>
          <w:sz w:val="28"/>
        </w:rPr>
        <w:t>Analyst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295899"/>
                            <a:ext cx="9525" cy="319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90875">
                                <a:moveTo>
                                  <a:pt x="0" y="3190874"/>
                                </a:moveTo>
                                <a:lnTo>
                                  <a:pt x="9524" y="31908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90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295900">
                                <a:moveTo>
                                  <a:pt x="9524" y="5295899"/>
                                </a:moveTo>
                                <a:lnTo>
                                  <a:pt x="0" y="52958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295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82912" id="docshapegroup1" coordorigin="3855,98" coordsize="15,13365">
                <v:rect style="position:absolute;left:3855;top:8437;width:15;height:5025" id="docshape2" filled="true" fillcolor="#1f1f1f" stroked="false">
                  <v:fill opacity="15420f" type="solid"/>
                </v:rect>
                <v:rect style="position:absolute;left:3855;top:97;width:15;height:834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spacing w:val="-5"/>
          <w:sz w:val="28"/>
        </w:rPr>
        <w:t>ABOUT</w:t>
      </w:r>
      <w:r>
        <w:rPr>
          <w:b/>
          <w:spacing w:val="-13"/>
          <w:sz w:val="28"/>
        </w:rPr>
        <w:t> </w:t>
      </w:r>
      <w:r>
        <w:rPr>
          <w:b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360"/>
        </w:sectPr>
      </w:pPr>
    </w:p>
    <w:p>
      <w:pPr>
        <w:pStyle w:val="BodyTex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3424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629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62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82400" id="docshapegroup5" coordorigin="-95,0" coordsize="12110,3840">
                <v:rect style="position:absolute;left:3855;top:600;width:15;height:2490" id="docshape6" filled="true" fillcolor="#1f1f1f" stroked="false">
                  <v:fill opacity="15420f" type="solid"/>
                </v:rect>
                <v:rect style="position:absolute;left:0;top:0;width:11919;height:3090" id="docshape7" filled="true" fillcolor="#816294" stroked="false">
                  <v:fill opacity="32899f" type="solid"/>
                </v:rect>
                <v:shape style="position:absolute;left:0;top:280;width:11919;height:2757" id="docshape8" coordorigin="0,281" coordsize="11919,2757" path="m11918,3038l0,3038,0,841,11918,281,11918,3038xe" filled="true" fillcolor="#816294" stroked="false">
                  <v:path arrowok="t"/>
                  <v:fill type="solid"/>
                </v:shape>
                <v:rect style="position:absolute;left:0;top:2942;width:11919;height:191" id="docshape9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CONTACT</w:t>
      </w:r>
    </w:p>
    <w:p>
      <w:pPr>
        <w:pStyle w:val="BodyText"/>
        <w:tabs>
          <w:tab w:pos="918" w:val="left" w:leader="none"/>
        </w:tabs>
        <w:spacing w:before="240"/>
        <w:ind w:left="360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567-</w:t>
      </w:r>
      <w:r>
        <w:rPr>
          <w:color w:val="1F1F1F"/>
          <w:spacing w:val="-4"/>
        </w:rPr>
        <w:t>8901</w:t>
      </w:r>
    </w:p>
    <w:p>
      <w:pPr>
        <w:pStyle w:val="BodyText"/>
        <w:tabs>
          <w:tab w:pos="918" w:val="left" w:leader="none"/>
        </w:tabs>
        <w:spacing w:line="357" w:lineRule="auto" w:before="119"/>
        <w:ind w:left="360" w:right="658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8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18" w:val="left" w:leader="none"/>
        </w:tabs>
        <w:spacing w:before="22"/>
        <w:ind w:left="361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New</w:t>
      </w:r>
      <w:r>
        <w:rPr>
          <w:color w:val="1F1F1F"/>
          <w:spacing w:val="-4"/>
        </w:rPr>
        <w:t> </w:t>
      </w:r>
      <w:r>
        <w:rPr>
          <w:color w:val="1F1F1F"/>
        </w:rPr>
        <w:t>York,</w:t>
      </w:r>
      <w:r>
        <w:rPr>
          <w:color w:val="1F1F1F"/>
          <w:spacing w:val="-4"/>
        </w:rPr>
        <w:t> </w:t>
      </w:r>
      <w:r>
        <w:rPr>
          <w:color w:val="1F1F1F"/>
        </w:rPr>
        <w:t>NY</w:t>
      </w:r>
      <w:r>
        <w:rPr>
          <w:color w:val="1F1F1F"/>
          <w:spacing w:val="-4"/>
        </w:rPr>
        <w:t> </w:t>
      </w:r>
      <w:r>
        <w:rPr>
          <w:color w:val="1F1F1F"/>
          <w:spacing w:val="-2"/>
        </w:rPr>
        <w:t>10001</w:t>
      </w:r>
    </w:p>
    <w:p>
      <w:pPr>
        <w:pStyle w:val="BodyText"/>
      </w:pPr>
    </w:p>
    <w:p>
      <w:pPr>
        <w:pStyle w:val="BodyText"/>
        <w:spacing w:before="27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3"/>
          <w:sz w:val="28"/>
        </w:rPr>
        <w:t>KEY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line="400" w:lineRule="auto" w:before="207"/>
        <w:ind w:left="359" w:right="46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Forecasting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modeling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Budget variance analysis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KPI dashboards</w:t>
      </w:r>
    </w:p>
    <w:p>
      <w:pPr>
        <w:pStyle w:val="BodyText"/>
        <w:tabs>
          <w:tab w:pos="657" w:val="left" w:leader="none"/>
        </w:tabs>
        <w:spacing w:line="400" w:lineRule="auto"/>
        <w:ind w:left="359" w:right="475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Financial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strategy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support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Excel and SQL</w:t>
      </w:r>
    </w:p>
    <w:p>
      <w:pPr>
        <w:pStyle w:val="BodyText"/>
        <w:spacing w:before="131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CERTIFICATIONS</w:t>
      </w:r>
    </w:p>
    <w:p>
      <w:pPr>
        <w:pStyle w:val="BodyText"/>
        <w:tabs>
          <w:tab w:pos="657" w:val="left" w:leader="none"/>
        </w:tabs>
        <w:spacing w:line="218" w:lineRule="auto" w:before="177"/>
        <w:ind w:left="657" w:right="38" w:hanging="298"/>
      </w:pPr>
      <w:r>
        <w:rPr>
          <w:position w:val="-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Certiﬁed Public Accountant </w:t>
      </w:r>
      <w:r>
        <w:rPr>
          <w:color w:val="1F1F1F"/>
          <w:spacing w:val="-4"/>
          <w:w w:val="105"/>
        </w:rPr>
        <w:t>(CPA),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4"/>
          <w:w w:val="105"/>
        </w:rPr>
        <w:t>New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4"/>
          <w:w w:val="105"/>
        </w:rPr>
        <w:t>York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4"/>
          <w:w w:val="105"/>
        </w:rPr>
        <w:t>State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4"/>
          <w:w w:val="105"/>
        </w:rPr>
        <w:t>Board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4"/>
          <w:w w:val="105"/>
        </w:rPr>
        <w:t>of </w:t>
      </w:r>
      <w:r>
        <w:rPr>
          <w:color w:val="1F1F1F"/>
          <w:w w:val="105"/>
        </w:rPr>
        <w:t>Accountancy, June 2018</w:t>
      </w:r>
    </w:p>
    <w:p>
      <w:pPr>
        <w:spacing w:before="70"/>
        <w:ind w:left="107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cpa</w:t>
      </w:r>
      <w:r>
        <w:rPr>
          <w:color w:val="1F1F1F"/>
          <w:spacing w:val="3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31"/>
          <w:sz w:val="20"/>
        </w:rPr>
        <w:t> </w:t>
      </w:r>
      <w:r>
        <w:rPr>
          <w:color w:val="1F1F1F"/>
          <w:sz w:val="20"/>
        </w:rPr>
        <w:t>analyst</w:t>
      </w:r>
      <w:r>
        <w:rPr>
          <w:color w:val="1F1F1F"/>
          <w:spacing w:val="3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31"/>
          <w:sz w:val="20"/>
        </w:rPr>
        <w:t> </w:t>
      </w:r>
      <w:r>
        <w:rPr>
          <w:color w:val="1F1F1F"/>
          <w:sz w:val="20"/>
        </w:rPr>
        <w:t>strength</w:t>
      </w:r>
      <w:r>
        <w:rPr>
          <w:color w:val="1F1F1F"/>
          <w:spacing w:val="30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31"/>
          <w:sz w:val="20"/>
        </w:rPr>
        <w:t> </w:t>
      </w:r>
      <w:r>
        <w:rPr>
          <w:color w:val="1F1F1F"/>
          <w:sz w:val="20"/>
        </w:rPr>
        <w:t>modeling</w:t>
      </w:r>
      <w:r>
        <w:rPr>
          <w:color w:val="1F1F1F"/>
          <w:spacing w:val="3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31"/>
          <w:sz w:val="20"/>
        </w:rPr>
        <w:t> </w:t>
      </w:r>
      <w:r>
        <w:rPr>
          <w:color w:val="1F1F1F"/>
          <w:spacing w:val="-2"/>
          <w:sz w:val="20"/>
        </w:rPr>
        <w:t>forecasting</w:t>
      </w:r>
    </w:p>
    <w:p>
      <w:pPr>
        <w:spacing w:line="290" w:lineRule="auto" w:before="145"/>
        <w:ind w:left="213" w:right="104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CPA with 6 years of experience in FP&amp;A roles focused on budgeting, modeling, and financial insights. Adept at helping organizations make data- driven decisions and communicate financial health to stakeholders.</w:t>
      </w:r>
    </w:p>
    <w:p>
      <w:pPr>
        <w:pStyle w:val="BodyText"/>
        <w:spacing w:before="3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141545</wp:posOffset>
                </wp:positionV>
                <wp:extent cx="4629150" cy="9525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14532pt;width:364.499971pt;height:.7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1"/>
          <w:sz w:val="28"/>
        </w:rPr>
        <w:t>PROFESSIONAL</w:t>
      </w:r>
      <w:r>
        <w:rPr>
          <w:b/>
          <w:spacing w:val="3"/>
          <w:sz w:val="28"/>
        </w:rPr>
        <w:t> </w:t>
      </w:r>
      <w:r>
        <w:rPr>
          <w:b/>
          <w:spacing w:val="-2"/>
          <w:sz w:val="28"/>
        </w:rPr>
        <w:t>EXPERIENCE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Financial</w:t>
      </w:r>
      <w:r>
        <w:rPr>
          <w:color w:val="1F1F1F"/>
          <w:spacing w:val="-5"/>
          <w:sz w:val="20"/>
        </w:rPr>
        <w:t> </w:t>
      </w:r>
      <w:r>
        <w:rPr>
          <w:color w:val="1F1F1F"/>
          <w:sz w:val="20"/>
        </w:rPr>
        <w:t>Analyst</w:t>
      </w:r>
      <w:r>
        <w:rPr>
          <w:color w:val="1F1F1F"/>
          <w:spacing w:val="10"/>
          <w:sz w:val="20"/>
        </w:rPr>
        <w:t> </w:t>
      </w:r>
      <w:r>
        <w:rPr>
          <w:color w:val="1F1F1F"/>
          <w:spacing w:val="-5"/>
          <w:sz w:val="20"/>
        </w:rPr>
        <w:t>II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z w:val="20"/>
        </w:rPr>
        <w:t>Windhall</w:t>
      </w:r>
      <w:r>
        <w:rPr>
          <w:spacing w:val="2"/>
          <w:sz w:val="20"/>
        </w:rPr>
        <w:t> </w:t>
      </w:r>
      <w:r>
        <w:rPr>
          <w:sz w:val="20"/>
        </w:rPr>
        <w:t>Group,</w:t>
      </w:r>
      <w:r>
        <w:rPr>
          <w:spacing w:val="2"/>
          <w:sz w:val="20"/>
        </w:rPr>
        <w:t> </w:t>
      </w:r>
      <w:r>
        <w:rPr>
          <w:sz w:val="20"/>
        </w:rPr>
        <w:t>New</w:t>
      </w:r>
      <w:r>
        <w:rPr>
          <w:spacing w:val="2"/>
          <w:sz w:val="20"/>
        </w:rPr>
        <w:t> </w:t>
      </w:r>
      <w:r>
        <w:rPr>
          <w:sz w:val="20"/>
        </w:rPr>
        <w:t>York,</w:t>
      </w:r>
      <w:r>
        <w:rPr>
          <w:spacing w:val="2"/>
          <w:sz w:val="20"/>
        </w:rPr>
        <w:t> </w:t>
      </w:r>
      <w:r>
        <w:rPr>
          <w:sz w:val="20"/>
        </w:rPr>
        <w:t>NY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February</w:t>
      </w:r>
      <w:r>
        <w:rPr>
          <w:spacing w:val="2"/>
          <w:sz w:val="20"/>
        </w:rPr>
        <w:t> </w:t>
      </w:r>
      <w:r>
        <w:rPr>
          <w:sz w:val="20"/>
        </w:rPr>
        <w:t>2021</w:t>
      </w:r>
      <w:r>
        <w:rPr>
          <w:spacing w:val="2"/>
          <w:sz w:val="20"/>
        </w:rPr>
        <w:t> </w:t>
      </w:r>
      <w:r>
        <w:rPr>
          <w:sz w:val="20"/>
        </w:rPr>
        <w:t>-</w:t>
      </w:r>
      <w:r>
        <w:rPr>
          <w:spacing w:val="2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400" w:lineRule="auto" w:before="149"/>
        <w:ind w:left="634" w:right="69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Created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3-year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rolling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forecasts,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improving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leadership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decision-making </w:t>
      </w:r>
      <w:r>
        <w:rPr>
          <w:color w:val="1F1F1F"/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Reduced forecast error margin by 14%</w:t>
      </w:r>
    </w:p>
    <w:p>
      <w:pPr>
        <w:pStyle w:val="BodyText"/>
        <w:tabs>
          <w:tab w:pos="936" w:val="left" w:leader="none"/>
        </w:tabs>
        <w:spacing w:line="206" w:lineRule="exact"/>
        <w:ind w:left="634"/>
      </w:pPr>
      <w:r>
        <w:rPr/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Developed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models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pricing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cost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allocation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across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4</w:t>
      </w:r>
      <w:r>
        <w:rPr>
          <w:color w:val="1F1F1F"/>
          <w:spacing w:val="-4"/>
          <w:w w:val="105"/>
        </w:rPr>
        <w:t> </w:t>
      </w:r>
      <w:r>
        <w:rPr>
          <w:color w:val="1F1F1F"/>
          <w:spacing w:val="-2"/>
          <w:w w:val="105"/>
        </w:rPr>
        <w:t>departments</w:t>
      </w:r>
    </w:p>
    <w:p>
      <w:pPr>
        <w:pStyle w:val="BodyText"/>
        <w:spacing w:before="17"/>
      </w:pPr>
    </w:p>
    <w:p>
      <w:pPr>
        <w:spacing w:before="0"/>
        <w:ind w:left="100" w:right="0" w:firstLine="0"/>
        <w:jc w:val="left"/>
        <w:rPr>
          <w:sz w:val="20"/>
        </w:rPr>
      </w:pPr>
      <w:r>
        <w:rPr>
          <w:color w:val="1F1F1F"/>
          <w:spacing w:val="-4"/>
          <w:sz w:val="20"/>
        </w:rPr>
        <w:t>CPA</w:t>
      </w:r>
      <w:r>
        <w:rPr>
          <w:color w:val="1F1F1F"/>
          <w:spacing w:val="-19"/>
          <w:sz w:val="20"/>
        </w:rPr>
        <w:t> </w:t>
      </w:r>
      <w:r>
        <w:rPr>
          <w:color w:val="1F1F1F"/>
          <w:spacing w:val="-2"/>
          <w:sz w:val="20"/>
        </w:rPr>
        <w:t>Analyst,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Fortis</w:t>
      </w:r>
      <w:r>
        <w:rPr>
          <w:spacing w:val="2"/>
          <w:sz w:val="20"/>
        </w:rPr>
        <w:t> </w:t>
      </w:r>
      <w:r>
        <w:rPr>
          <w:sz w:val="20"/>
        </w:rPr>
        <w:t>Financial</w:t>
      </w:r>
      <w:r>
        <w:rPr>
          <w:spacing w:val="3"/>
          <w:sz w:val="20"/>
        </w:rPr>
        <w:t> </w:t>
      </w:r>
      <w:r>
        <w:rPr>
          <w:sz w:val="20"/>
        </w:rPr>
        <w:t>Consulting,</w:t>
      </w:r>
      <w:r>
        <w:rPr>
          <w:spacing w:val="2"/>
          <w:sz w:val="20"/>
        </w:rPr>
        <w:t> </w:t>
      </w:r>
      <w:r>
        <w:rPr>
          <w:sz w:val="20"/>
        </w:rPr>
        <w:t>New</w:t>
      </w:r>
      <w:r>
        <w:rPr>
          <w:spacing w:val="3"/>
          <w:sz w:val="20"/>
        </w:rPr>
        <w:t> </w:t>
      </w:r>
      <w:r>
        <w:rPr>
          <w:sz w:val="20"/>
        </w:rPr>
        <w:t>York,</w:t>
      </w:r>
      <w:r>
        <w:rPr>
          <w:spacing w:val="3"/>
          <w:sz w:val="20"/>
        </w:rPr>
        <w:t> </w:t>
      </w:r>
      <w:r>
        <w:rPr>
          <w:sz w:val="20"/>
        </w:rPr>
        <w:t>NY</w:t>
      </w:r>
      <w:r>
        <w:rPr>
          <w:spacing w:val="2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July</w:t>
      </w:r>
      <w:r>
        <w:rPr>
          <w:spacing w:val="2"/>
          <w:sz w:val="20"/>
        </w:rPr>
        <w:t> </w:t>
      </w:r>
      <w:r>
        <w:rPr>
          <w:sz w:val="20"/>
        </w:rPr>
        <w:t>2017</w:t>
      </w:r>
      <w:r>
        <w:rPr>
          <w:spacing w:val="3"/>
          <w:sz w:val="20"/>
        </w:rPr>
        <w:t> </w:t>
      </w:r>
      <w:r>
        <w:rPr>
          <w:sz w:val="20"/>
        </w:rPr>
        <w:t>-</w:t>
      </w:r>
      <w:r>
        <w:rPr>
          <w:spacing w:val="3"/>
          <w:sz w:val="20"/>
        </w:rPr>
        <w:t> </w:t>
      </w:r>
      <w:r>
        <w:rPr>
          <w:sz w:val="20"/>
        </w:rPr>
        <w:t>January</w:t>
      </w:r>
      <w:r>
        <w:rPr>
          <w:spacing w:val="2"/>
          <w:sz w:val="20"/>
        </w:rPr>
        <w:t> </w:t>
      </w:r>
      <w:r>
        <w:rPr>
          <w:spacing w:val="-4"/>
          <w:sz w:val="20"/>
        </w:rPr>
        <w:t>2021</w:t>
      </w:r>
    </w:p>
    <w:p>
      <w:pPr>
        <w:pStyle w:val="BodyText"/>
        <w:tabs>
          <w:tab w:pos="936" w:val="left" w:leader="none"/>
        </w:tabs>
        <w:spacing w:line="400" w:lineRule="auto" w:before="134"/>
        <w:ind w:left="634" w:right="632"/>
      </w:pPr>
      <w:r>
        <w:rPr/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Supported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15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corporate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clients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ﬁnancial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projections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audit</w:t>
      </w:r>
      <w:r>
        <w:rPr>
          <w:color w:val="1F1F1F"/>
          <w:spacing w:val="-2"/>
          <w:w w:val="105"/>
        </w:rPr>
        <w:t> </w:t>
      </w:r>
      <w:r>
        <w:rPr>
          <w:color w:val="1F1F1F"/>
          <w:w w:val="105"/>
        </w:rPr>
        <w:t>prep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 w:hAnsi="Times New Roman"/>
          <w:color w:val="1F1F1F"/>
        </w:rPr>
        <w:tab/>
      </w:r>
      <w:r>
        <w:rPr>
          <w:color w:val="1F1F1F"/>
          <w:w w:val="105"/>
        </w:rPr>
        <w:t>Automated monthly close processes, cutting time by 20%</w:t>
      </w:r>
    </w:p>
    <w:p>
      <w:pPr>
        <w:pStyle w:val="BodyText"/>
        <w:spacing w:before="118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EDUCATION</w:t>
      </w:r>
    </w:p>
    <w:p>
      <w:pPr>
        <w:spacing w:before="203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(B.S.)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-7"/>
          <w:sz w:val="20"/>
        </w:rPr>
        <w:t> </w:t>
      </w:r>
      <w:r>
        <w:rPr>
          <w:color w:val="1F1F1F"/>
          <w:spacing w:val="-2"/>
          <w:sz w:val="20"/>
        </w:rPr>
        <w:t>Accounting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z w:val="20"/>
        </w:rPr>
        <w:t>Baruch</w:t>
      </w:r>
      <w:r>
        <w:rPr>
          <w:spacing w:val="-1"/>
          <w:sz w:val="20"/>
        </w:rPr>
        <w:t> </w:t>
      </w:r>
      <w:r>
        <w:rPr>
          <w:sz w:val="20"/>
        </w:rPr>
        <w:t>College,</w:t>
      </w:r>
      <w:r>
        <w:rPr>
          <w:spacing w:val="-1"/>
          <w:sz w:val="20"/>
        </w:rPr>
        <w:t> </w:t>
      </w:r>
      <w:r>
        <w:rPr>
          <w:sz w:val="20"/>
        </w:rPr>
        <w:t>CUNY,</w:t>
      </w:r>
      <w:r>
        <w:rPr>
          <w:spacing w:val="-1"/>
          <w:sz w:val="20"/>
        </w:rPr>
        <w:t> </w:t>
      </w:r>
      <w:r>
        <w:rPr>
          <w:sz w:val="20"/>
        </w:rPr>
        <w:t>New</w:t>
      </w:r>
      <w:r>
        <w:rPr>
          <w:spacing w:val="-1"/>
          <w:sz w:val="20"/>
        </w:rPr>
        <w:t> </w:t>
      </w:r>
      <w:r>
        <w:rPr>
          <w:sz w:val="20"/>
        </w:rPr>
        <w:t>York,</w:t>
      </w:r>
      <w:r>
        <w:rPr>
          <w:spacing w:val="-1"/>
          <w:sz w:val="20"/>
        </w:rPr>
        <w:t> </w:t>
      </w:r>
      <w:r>
        <w:rPr>
          <w:sz w:val="20"/>
        </w:rPr>
        <w:t>NY</w:t>
      </w:r>
      <w:r>
        <w:rPr>
          <w:spacing w:val="-1"/>
          <w:sz w:val="20"/>
        </w:rPr>
        <w:t> </w:t>
      </w:r>
      <w:r>
        <w:rPr>
          <w:sz w:val="20"/>
        </w:rPr>
        <w:t>|</w:t>
      </w:r>
      <w:r>
        <w:rPr>
          <w:spacing w:val="-1"/>
          <w:sz w:val="20"/>
        </w:rPr>
        <w:t> </w:t>
      </w:r>
      <w:r>
        <w:rPr>
          <w:sz w:val="20"/>
        </w:rPr>
        <w:t>May</w:t>
      </w:r>
      <w:r>
        <w:rPr>
          <w:spacing w:val="-1"/>
          <w:sz w:val="20"/>
        </w:rPr>
        <w:t> </w:t>
      </w:r>
      <w:r>
        <w:rPr>
          <w:spacing w:val="-4"/>
          <w:sz w:val="20"/>
        </w:rPr>
        <w:t>2017</w:t>
      </w:r>
    </w:p>
    <w:sectPr>
      <w:type w:val="continuous"/>
      <w:pgSz w:w="11920" w:h="16860"/>
      <w:pgMar w:top="0" w:bottom="0" w:left="180" w:right="360"/>
      <w:cols w:num="2" w:equalWidth="0">
        <w:col w:w="3298" w:space="552"/>
        <w:col w:w="753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2025-11-09T10:07:37Z</dcterms:created>
  <dcterms:modified xsi:type="dcterms:W3CDTF">2025-11-09T10:07:37Z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