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Entry-Level</w:t>
      </w:r>
      <w:r>
        <w:rPr>
          <w:b/>
          <w:color w:val="FFFFFF"/>
          <w:spacing w:val="12"/>
          <w:sz w:val="29"/>
        </w:rPr>
        <w:t> </w:t>
      </w:r>
      <w:r>
        <w:rPr>
          <w:b/>
          <w:color w:val="FFFFFF"/>
          <w:sz w:val="29"/>
        </w:rPr>
        <w:t>Real</w:t>
      </w:r>
      <w:r>
        <w:rPr>
          <w:b/>
          <w:color w:val="FFFFFF"/>
          <w:spacing w:val="13"/>
          <w:sz w:val="29"/>
        </w:rPr>
        <w:t> </w:t>
      </w:r>
      <w:r>
        <w:rPr>
          <w:b/>
          <w:color w:val="FFFFFF"/>
          <w:sz w:val="29"/>
        </w:rPr>
        <w:t>Estate</w:t>
      </w:r>
      <w:r>
        <w:rPr>
          <w:b/>
          <w:color w:val="FFFFFF"/>
          <w:spacing w:val="13"/>
          <w:sz w:val="29"/>
        </w:rPr>
        <w:t> </w:t>
      </w:r>
      <w:r>
        <w:rPr>
          <w:b/>
          <w:color w:val="FFFFFF"/>
          <w:sz w:val="29"/>
        </w:rPr>
        <w:t>Financial</w:t>
      </w:r>
      <w:r>
        <w:rPr>
          <w:b/>
          <w:color w:val="FFFFFF"/>
          <w:spacing w:val="12"/>
          <w:sz w:val="29"/>
        </w:rPr>
        <w:t> </w:t>
      </w:r>
      <w:r>
        <w:rPr>
          <w:b/>
          <w:color w:val="FFFFFF"/>
          <w:spacing w:val="-2"/>
          <w:sz w:val="29"/>
        </w:rPr>
        <w:t>Analyst</w:t>
      </w:r>
    </w:p>
    <w:p>
      <w:pPr>
        <w:spacing w:before="179"/>
        <w:ind w:left="49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Financial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analyst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focused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real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estate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investments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market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forecasting</w:t>
      </w:r>
    </w:p>
    <w:p>
      <w:pPr>
        <w:spacing w:line="273" w:lineRule="auto" w:before="26"/>
        <w:ind w:left="493" w:right="485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Recent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finance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internship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estate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finance,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market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research,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Excel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modeling,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 investment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analysis.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ability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assist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budgeting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forecasting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multiple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property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portfolios. Adept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at transforming financial data into clear, actionable insights.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38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5"/>
          <w:sz w:val="35"/>
        </w:rPr>
        <w:t>Professional</w:t>
      </w:r>
      <w:r>
        <w:rPr>
          <w:b/>
          <w:smallCaps/>
          <w:spacing w:val="-4"/>
          <w:sz w:val="35"/>
        </w:rPr>
        <w:t> </w:t>
      </w:r>
      <w:r>
        <w:rPr>
          <w:b/>
          <w:smallCaps/>
          <w:spacing w:val="-2"/>
          <w:sz w:val="35"/>
        </w:rPr>
        <w:t>Experience</w:t>
      </w:r>
    </w:p>
    <w:p>
      <w:pPr>
        <w:pStyle w:val="BodyText"/>
        <w:spacing w:line="268" w:lineRule="auto" w:before="241"/>
        <w:ind w:left="215" w:right="2881"/>
      </w:pPr>
      <w:r>
        <w:rPr>
          <w:w w:val="105"/>
        </w:rPr>
        <w:t>Finance Intern </w:t>
      </w:r>
      <w:r>
        <w:rPr>
          <w:w w:val="105"/>
          <w:position w:val="2"/>
        </w:rPr>
        <w:t>| </w:t>
      </w:r>
      <w:r>
        <w:rPr>
          <w:w w:val="105"/>
        </w:rPr>
        <w:t>Capital Properties, Dallas, TX June 2023 – August 2023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380"/>
          <w:cols w:num="2" w:equalWidth="0">
            <w:col w:w="1531" w:space="2301"/>
            <w:col w:w="732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0"/>
      </w:pPr>
    </w:p>
    <w:p>
      <w:pPr>
        <w:pStyle w:val="BodyText"/>
        <w:spacing w:line="643" w:lineRule="auto" w:before="1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line="178" w:lineRule="exact"/>
        <w:ind w:left="642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5"/>
          <w:w w:val="105"/>
        </w:rPr>
        <w:t>123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6" w:after="0"/>
        <w:ind w:left="940" w:right="32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Partnered with senior analysts to evaluate a $45M commercial real estate portfolio,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asset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assessments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investment</w:t>
      </w:r>
    </w:p>
    <w:p>
      <w:pPr>
        <w:pStyle w:val="BodyText"/>
        <w:spacing w:before="42"/>
        <w:ind w:left="940"/>
      </w:pPr>
      <w:r>
        <w:rPr>
          <w:spacing w:val="-2"/>
          <w:w w:val="105"/>
        </w:rPr>
        <w:t>decisions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1" w:after="0"/>
        <w:ind w:left="940" w:right="135" w:hanging="298"/>
        <w:jc w:val="left"/>
        <w:rPr>
          <w:sz w:val="18"/>
        </w:rPr>
      </w:pPr>
      <w:r>
        <w:rPr>
          <w:w w:val="105"/>
          <w:sz w:val="18"/>
        </w:rPr>
        <w:t>Developed dynamic Excel models to evaluate rent growth scenarios across six markets, improving forecasting accuracy for acquisitions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98" w:after="0"/>
        <w:ind w:left="940" w:right="100" w:hanging="298"/>
        <w:jc w:val="left"/>
        <w:rPr>
          <w:sz w:val="18"/>
        </w:rPr>
      </w:pPr>
      <w:r>
        <w:rPr>
          <w:w w:val="105"/>
          <w:sz w:val="18"/>
        </w:rPr>
        <w:t>Prepared investor reports and performed trend analysis on three key assets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to highlight revenue drivers and portfolio risks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380"/>
          <w:cols w:num="2" w:equalWidth="0">
            <w:col w:w="2422" w:space="1150"/>
            <w:col w:w="7588"/>
          </w:cols>
        </w:sectPr>
      </w:pPr>
    </w:p>
    <w:p>
      <w:pPr>
        <w:pStyle w:val="BodyText"/>
        <w:spacing w:before="3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380"/>
        </w:sectPr>
      </w:pPr>
    </w:p>
    <w:p>
      <w:pPr>
        <w:pStyle w:val="Heading1"/>
        <w:spacing w:before="185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line="268" w:lineRule="auto" w:before="78"/>
        <w:ind w:left="103" w:right="1415"/>
      </w:pPr>
      <w:r>
        <w:rPr/>
        <w:br w:type="column"/>
      </w:r>
      <w:r>
        <w:rPr>
          <w:w w:val="105"/>
        </w:rPr>
        <w:t>Student Investment</w:t>
      </w:r>
      <w:r>
        <w:rPr>
          <w:spacing w:val="-2"/>
          <w:w w:val="105"/>
        </w:rPr>
        <w:t> </w:t>
      </w:r>
      <w:r>
        <w:rPr>
          <w:w w:val="105"/>
        </w:rPr>
        <w:t>Analyst </w:t>
      </w:r>
      <w:r>
        <w:rPr>
          <w:w w:val="105"/>
          <w:position w:val="2"/>
        </w:rPr>
        <w:t>| </w:t>
      </w:r>
      <w:r>
        <w:rPr>
          <w:w w:val="105"/>
        </w:rPr>
        <w:t>Real Estate Club, University of Texas August 2022 – May 2023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380"/>
          <w:cols w:num="2" w:equalWidth="0">
            <w:col w:w="1853" w:space="2090"/>
            <w:col w:w="7217"/>
          </w:cols>
        </w:sectPr>
      </w:pPr>
    </w:p>
    <w:p>
      <w:pPr>
        <w:pStyle w:val="BodyText"/>
        <w:spacing w:before="146"/>
        <w:rPr>
          <w:sz w:val="16"/>
        </w:rPr>
      </w:pPr>
    </w:p>
    <w:p>
      <w:pPr>
        <w:spacing w:line="273" w:lineRule="auto"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Business Administration (B.B.A.) in Finance</w:t>
      </w:r>
    </w:p>
    <w:p>
      <w:pPr>
        <w:spacing w:line="273" w:lineRule="auto" w:before="1"/>
        <w:ind w:left="215" w:right="230" w:firstLine="0"/>
        <w:jc w:val="left"/>
        <w:rPr>
          <w:sz w:val="16"/>
        </w:rPr>
      </w:pPr>
      <w:r>
        <w:rPr>
          <w:color w:val="424242"/>
          <w:w w:val="105"/>
          <w:sz w:val="16"/>
        </w:rPr>
        <w:t>University of Texas,</w:t>
      </w:r>
      <w:r>
        <w:rPr>
          <w:color w:val="424242"/>
          <w:spacing w:val="-1"/>
          <w:w w:val="105"/>
          <w:sz w:val="16"/>
        </w:rPr>
        <w:t> </w:t>
      </w:r>
      <w:r>
        <w:rPr>
          <w:color w:val="424242"/>
          <w:w w:val="105"/>
          <w:sz w:val="16"/>
        </w:rPr>
        <w:t>Austin, TX May 2023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189" w:lineRule="auto" w:before="95" w:after="0"/>
        <w:ind w:left="512" w:right="169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Evaluated property investment opportunities using cash flow modeling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cap rate calculations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189" w:lineRule="auto" w:before="110" w:after="0"/>
        <w:ind w:left="512" w:right="307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on a mock pitch for a mixed-use development proposal 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received top honors at a regional competition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780" w:bottom="280" w:left="380" w:right="380"/>
          <w:cols w:num="2" w:equalWidth="0">
            <w:col w:w="3039" w:space="960"/>
            <w:col w:w="7161"/>
          </w:cols>
        </w:sectPr>
      </w:pPr>
    </w:p>
    <w:p>
      <w:pPr>
        <w:pStyle w:val="BodyText"/>
        <w:spacing w:before="130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381999"/>
                            <a:ext cx="226695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324100">
                                <a:moveTo>
                                  <a:pt x="0" y="2324099"/>
                                </a:moveTo>
                                <a:lnTo>
                                  <a:pt x="2266949" y="232409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666999"/>
                            <a:ext cx="2266950" cy="571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715000">
                                <a:moveTo>
                                  <a:pt x="2266950" y="4057650"/>
                                </a:moveTo>
                                <a:lnTo>
                                  <a:pt x="0" y="4057650"/>
                                </a:lnTo>
                                <a:lnTo>
                                  <a:pt x="0" y="5715000"/>
                                </a:lnTo>
                                <a:lnTo>
                                  <a:pt x="2266950" y="5715000"/>
                                </a:lnTo>
                                <a:lnTo>
                                  <a:pt x="2266950" y="4057650"/>
                                </a:lnTo>
                                <a:close/>
                              </a:path>
                              <a:path w="2266950" h="5715000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3629025"/>
                                </a:lnTo>
                                <a:lnTo>
                                  <a:pt x="2266950" y="362902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5715000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71500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0670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5021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6290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9528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3245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6481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0101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4345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296024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7208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840" id="docshapegroup1" coordorigin="0,0" coordsize="11919,16860">
                <v:rect style="position:absolute;left:255;top:13200;width:3570;height:3660" id="docshape2" filled="true" fillcolor="#804040" stroked="false">
                  <v:fill opacity="32899f" type="solid"/>
                </v:rect>
                <v:rect style="position:absolute;left:0;top:0;width:11919;height:4200" id="docshape3" filled="true" fillcolor="#424242" stroked="false">
                  <v:fill type="solid"/>
                </v:rect>
                <v:shape style="position:absolute;left:254;top:4200;width:3570;height:9000" id="docshape4" coordorigin="255,4200" coordsize="3570,9000" path="m3825,10590l255,10590,255,13200,3825,13200,3825,10590xm3825,8565l255,8565,255,9915,3825,9915,3825,8565xm3825,5520l255,5520,255,7890,3825,7890,3825,5520xm3825,4200l255,4200,255,4830,3825,4830,3825,4200xe" filled="true" fillcolor="#804040" stroked="false">
                  <v:path arrowok="t"/>
                  <v:fill opacity="32899f" type="solid"/>
                </v:shape>
                <v:rect style="position:absolute;left:0;top:4830;width:4020;height:690" id="docshape5" filled="true" fillcolor="#804040" stroked="false">
                  <v:fill type="solid"/>
                </v:rect>
                <v:shape style="position:absolute;left:3825;top:5515;width:197;height:404" type="#_x0000_t75" id="docshape6" stroked="false">
                  <v:imagedata r:id="rId6" o:title=""/>
                </v:shape>
                <v:shape style="position:absolute;left:600;top:5715;width:255;height:261" type="#_x0000_t75" id="docshape7" stroked="false">
                  <v:imagedata r:id="rId7" o:title=""/>
                </v:shape>
                <v:shape style="position:absolute;left:600;top:6225;width:255;height:300" type="#_x0000_t75" id="docshape8" stroked="false">
                  <v:imagedata r:id="rId8" o:title=""/>
                </v:shape>
                <v:shape style="position:absolute;left:600;top:6810;width:256;height:226" type="#_x0000_t75" id="docshape9" stroked="false">
                  <v:imagedata r:id="rId9" o:title=""/>
                </v:shape>
                <v:shape style="position:absolute;left:600;top:7320;width:255;height:263" type="#_x0000_t75" id="docshape10" stroked="false">
                  <v:imagedata r:id="rId10" o:title=""/>
                </v:shape>
                <v:rect style="position:absolute;left:0;top:7890;width:4020;height:675" id="docshape11" filled="true" fillcolor="#804040" stroked="false">
                  <v:fill type="solid"/>
                </v:rect>
                <v:shape style="position:absolute;left:3825;top:8558;width:197;height:404" type="#_x0000_t75" id="docshape12" stroked="false">
                  <v:imagedata r:id="rId11" o:title=""/>
                </v:shape>
                <v:rect style="position:absolute;left:0;top:9915;width:4020;height:675" id="docshape13" filled="true" fillcolor="#804040" stroked="false">
                  <v:fill type="solid"/>
                </v:rect>
                <v:shape style="position:absolute;left:3825;top:10584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before="66"/>
        <w:rPr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Budget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forecasting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Excel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modeling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Financial</w:t>
      </w:r>
      <w:r>
        <w:rPr>
          <w:color w:val="424242"/>
          <w:spacing w:val="2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reporting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Market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analysis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Portfolio</w:t>
      </w:r>
      <w:r>
        <w:rPr>
          <w:color w:val="424242"/>
          <w:spacing w:val="2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analysis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Real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w w:val="105"/>
          <w:sz w:val="16"/>
        </w:rPr>
        <w:t>estate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investment</w:t>
      </w:r>
    </w:p>
    <w:sectPr>
      <w:type w:val="continuous"/>
      <w:pgSz w:w="11920" w:h="16860"/>
      <w:pgMar w:top="780" w:bottom="280" w:left="38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8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3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0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5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2025-11-27T12:18:36Z</dcterms:created>
  <dcterms:modified xsi:type="dcterms:W3CDTF">2025-11-27T12:18:36Z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