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</w:rPr>
        <w:t>Education</w:t>
      </w:r>
      <w:r>
        <w:rPr>
          <w:color w:val="FFFFFF"/>
          <w:spacing w:val="-11"/>
        </w:rPr>
        <w:t> </w:t>
      </w:r>
      <w:r>
        <w:rPr>
          <w:color w:val="FFFFFF"/>
        </w:rPr>
        <w:t>Policy</w:t>
      </w:r>
      <w:r>
        <w:rPr>
          <w:color w:val="FFFFFF"/>
          <w:spacing w:val="-11"/>
        </w:rPr>
        <w:t> </w:t>
      </w:r>
      <w:r>
        <w:rPr>
          <w:color w:val="FFFFFF"/>
        </w:rPr>
        <w:t>Graduate</w:t>
      </w:r>
      <w:r>
        <w:rPr>
          <w:color w:val="FFFFFF"/>
          <w:spacing w:val="-11"/>
        </w:rPr>
        <w:t> </w:t>
      </w:r>
      <w:r>
        <w:rPr>
          <w:color w:val="FFFFFF"/>
        </w:rPr>
        <w:t>School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Applicant</w:t>
      </w:r>
    </w:p>
    <w:p>
      <w:pPr>
        <w:spacing w:line="273" w:lineRule="auto" w:before="164"/>
        <w:ind w:left="528" w:right="484" w:firstLine="0"/>
        <w:jc w:val="left"/>
        <w:rPr>
          <w:sz w:val="16"/>
        </w:rPr>
      </w:pPr>
      <w:r>
        <w:rPr>
          <w:color w:val="FFFFFF"/>
          <w:w w:val="105"/>
          <w:sz w:val="16"/>
        </w:rPr>
        <w:t>Education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major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equitable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access,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leadership,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reform.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Conducted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classroom-based research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K–12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programs.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Interested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shaping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future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underserved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student </w:t>
      </w:r>
      <w:r>
        <w:rPr>
          <w:color w:val="FFFFFF"/>
          <w:spacing w:val="-2"/>
          <w:w w:val="105"/>
          <w:sz w:val="16"/>
        </w:rPr>
        <w:t>populations.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0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18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spacing w:before="98"/>
        <w:ind w:left="119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pacing w:val="-2"/>
          <w:sz w:val="28"/>
        </w:rPr>
        <w:t>EDUCATION</w:t>
      </w:r>
    </w:p>
    <w:p>
      <w:pPr>
        <w:spacing w:after="0"/>
        <w:jc w:val="left"/>
        <w:rPr>
          <w:sz w:val="28"/>
        </w:rPr>
        <w:sectPr>
          <w:type w:val="continuous"/>
          <w:pgSz w:w="11920" w:h="16860"/>
          <w:pgMar w:top="580" w:bottom="280" w:left="420" w:right="180"/>
          <w:cols w:num="2" w:equalWidth="0">
            <w:col w:w="1490" w:space="2267"/>
            <w:col w:w="7563"/>
          </w:cols>
        </w:sectPr>
      </w:pPr>
    </w:p>
    <w:p>
      <w:pPr>
        <w:pStyle w:val="BodyText"/>
        <w:spacing w:before="120"/>
        <w:ind w:left="0"/>
        <w:rPr>
          <w:b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92" w:lineRule="auto" w:before="153" w:after="0"/>
        <w:ind w:left="1179" w:right="330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Bachelor of Arts (B.A.) in Education Studies Oakwood College, Ann Arbor, MI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2023</w:t>
      </w:r>
    </w:p>
    <w:p>
      <w:pPr>
        <w:spacing w:after="0" w:line="192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180"/>
          <w:cols w:num="2" w:equalWidth="0">
            <w:col w:w="2242" w:space="753"/>
            <w:col w:w="8325"/>
          </w:cols>
        </w:sectPr>
      </w:pPr>
    </w:p>
    <w:p>
      <w:pPr>
        <w:pStyle w:val="BodyText"/>
        <w:spacing w:before="5"/>
        <w:ind w:left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420" w:right="180"/>
        </w:sectPr>
      </w:pPr>
    </w:p>
    <w:p>
      <w:pPr>
        <w:pStyle w:val="BodyText"/>
        <w:spacing w:line="261" w:lineRule="auto" w:before="74"/>
        <w:ind w:left="881" w:right="407"/>
      </w:pPr>
      <w:hyperlink r:id="rId5">
        <w:r>
          <w:rPr>
            <w:color w:val="FFFFFF"/>
            <w:spacing w:val="-2"/>
          </w:rPr>
          <w:t>jamiewilson@email.co</w:t>
        </w:r>
      </w:hyperlink>
      <w:r>
        <w:rPr>
          <w:color w:val="FFFFFF"/>
          <w:spacing w:val="40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before="32"/>
        <w:ind w:left="0"/>
      </w:pPr>
    </w:p>
    <w:p>
      <w:pPr>
        <w:pStyle w:val="BodyText"/>
        <w:ind w:left="881"/>
        <w:rPr>
          <w:sz w:val="16"/>
        </w:rPr>
      </w:pPr>
      <w:r>
        <w:rPr>
          <w:color w:val="FFFFFF"/>
        </w:rPr>
        <w:t>LinkedIn</w:t>
      </w:r>
      <w:r>
        <w:rPr>
          <w:color w:val="FFFFFF"/>
          <w:spacing w:val="50"/>
        </w:rPr>
        <w:t> </w:t>
      </w:r>
      <w:r>
        <w:rPr>
          <w:color w:val="FFFFFF"/>
          <w:spacing w:val="-10"/>
          <w:position w:val="1"/>
          <w:sz w:val="16"/>
        </w:rPr>
        <w:t>|</w:t>
      </w:r>
    </w:p>
    <w:p>
      <w:pPr>
        <w:pStyle w:val="BodyText"/>
        <w:spacing w:before="33"/>
        <w:ind w:left="881"/>
      </w:pPr>
      <w:r>
        <w:rPr>
          <w:color w:val="FFFFFF"/>
          <w:w w:val="105"/>
        </w:rPr>
        <w:t>Teaching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&amp;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Policy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before="81"/>
        <w:ind w:left="0"/>
      </w:pPr>
    </w:p>
    <w:p>
      <w:pPr>
        <w:pStyle w:val="BodyText"/>
        <w:spacing w:line="153" w:lineRule="exact"/>
        <w:ind w:left="88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Heading1"/>
        <w:spacing w:before="296"/>
        <w:ind w:left="657"/>
      </w:pPr>
      <w:r>
        <w:rPr>
          <w:b w:val="0"/>
        </w:rPr>
        <w:br w:type="column"/>
      </w:r>
      <w:r>
        <w:rPr/>
        <w:t>ACADEMIC</w:t>
      </w:r>
      <w:r>
        <w:rPr>
          <w:spacing w:val="-14"/>
        </w:rPr>
        <w:t> </w:t>
      </w:r>
      <w:r>
        <w:rPr>
          <w:spacing w:val="-2"/>
        </w:rPr>
        <w:t>PROJECTS</w:t>
      </w:r>
    </w:p>
    <w:p>
      <w:pPr>
        <w:pStyle w:val="BodyText"/>
        <w:spacing w:line="266" w:lineRule="auto" w:before="222"/>
        <w:ind w:left="657"/>
      </w:pPr>
      <w:r>
        <w:rPr>
          <w:w w:val="105"/>
        </w:rPr>
        <w:t>Academic Projects Policy Analysis – After-School Tutoring Programs and Literacy Outcomes</w:t>
      </w:r>
      <w:r>
        <w:rPr>
          <w:spacing w:val="40"/>
          <w:w w:val="105"/>
        </w:rPr>
        <w:t> </w:t>
      </w:r>
      <w:r>
        <w:rPr>
          <w:w w:val="105"/>
          <w:position w:val="1"/>
        </w:rPr>
        <w:t>| </w:t>
      </w:r>
      <w:r>
        <w:rPr>
          <w:w w:val="105"/>
        </w:rPr>
        <w:t>Oakwood College</w:t>
      </w:r>
    </w:p>
    <w:p>
      <w:pPr>
        <w:pStyle w:val="BodyText"/>
        <w:spacing w:line="202" w:lineRule="exact"/>
        <w:ind w:left="657"/>
      </w:pPr>
      <w:r>
        <w:rPr/>
        <w:t>January</w:t>
      </w:r>
      <w:r>
        <w:rPr>
          <w:spacing w:val="26"/>
        </w:rPr>
        <w:t> </w:t>
      </w:r>
      <w:r>
        <w:rPr/>
        <w:t>2023</w:t>
      </w:r>
      <w:r>
        <w:rPr>
          <w:spacing w:val="27"/>
        </w:rPr>
        <w:t> </w:t>
      </w:r>
      <w:r>
        <w:rPr/>
        <w:t>–</w:t>
      </w:r>
      <w:r>
        <w:rPr>
          <w:spacing w:val="26"/>
        </w:rPr>
        <w:t> </w:t>
      </w:r>
      <w:r>
        <w:rPr/>
        <w:t>May</w:t>
      </w:r>
      <w:r>
        <w:rPr>
          <w:spacing w:val="27"/>
        </w:rPr>
        <w:t> </w:t>
      </w:r>
      <w:r>
        <w:rPr>
          <w:spacing w:val="-4"/>
        </w:rPr>
        <w:t>2023</w:t>
      </w:r>
    </w:p>
    <w:p>
      <w:pPr>
        <w:spacing w:after="0" w:line="202" w:lineRule="exact"/>
        <w:sectPr>
          <w:type w:val="continuous"/>
          <w:pgSz w:w="11920" w:h="16860"/>
          <w:pgMar w:top="580" w:bottom="280" w:left="420" w:right="180"/>
          <w:cols w:num="2" w:equalWidth="0">
            <w:col w:w="3179" w:space="40"/>
            <w:col w:w="8101"/>
          </w:cols>
        </w:sectPr>
      </w:pPr>
    </w:p>
    <w:p>
      <w:pPr>
        <w:pStyle w:val="BodyText"/>
        <w:spacing w:before="167"/>
        <w:ind w:left="0"/>
        <w:rPr>
          <w:sz w:val="28"/>
        </w:r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414" w:val="left" w:leader="none"/>
          <w:tab w:pos="416" w:val="left" w:leader="none"/>
        </w:tabs>
        <w:spacing w:line="189" w:lineRule="auto" w:before="51" w:after="0"/>
        <w:ind w:left="416" w:right="9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Reviewed statewide data on K–3 literacy benchmarks across 80+ districts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after-school programs</w:t>
      </w:r>
    </w:p>
    <w:p>
      <w:pPr>
        <w:pStyle w:val="ListParagraph"/>
        <w:numPr>
          <w:ilvl w:val="0"/>
          <w:numId w:val="2"/>
        </w:numPr>
        <w:tabs>
          <w:tab w:pos="414" w:val="left" w:leader="none"/>
          <w:tab w:pos="416" w:val="left" w:leader="none"/>
        </w:tabs>
        <w:spacing w:line="201" w:lineRule="auto" w:before="81" w:after="0"/>
        <w:ind w:left="416" w:right="846" w:hanging="298"/>
        <w:jc w:val="left"/>
        <w:rPr>
          <w:sz w:val="18"/>
        </w:rPr>
      </w:pPr>
      <w:r>
        <w:rPr>
          <w:w w:val="105"/>
          <w:sz w:val="18"/>
        </w:rPr>
        <w:t>Evaluated year-over-year reading growth using paired data and policy implementation timelines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180"/>
          <w:cols w:num="2" w:equalWidth="0">
            <w:col w:w="1733" w:space="2266"/>
            <w:col w:w="7321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Curriculum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09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Education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96" w:after="0"/>
        <w:ind w:left="732" w:right="48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 a 12-page policy brief with cost-effective recommendations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expanding reading support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180"/>
          <w:cols w:num="2" w:equalWidth="0">
            <w:col w:w="2462" w:space="1221"/>
            <w:col w:w="7637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Equity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audits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294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Literacy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intervention</w:t>
      </w:r>
    </w:p>
    <w:p>
      <w:pPr>
        <w:spacing w:line="240" w:lineRule="auto" w:before="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435"/>
      </w:pPr>
      <w:r>
        <w:rPr>
          <w:w w:val="105"/>
        </w:rPr>
        <w:t>Curriculum</w:t>
      </w:r>
      <w:r>
        <w:rPr>
          <w:spacing w:val="6"/>
          <w:w w:val="105"/>
        </w:rPr>
        <w:t> </w:t>
      </w:r>
      <w:r>
        <w:rPr>
          <w:w w:val="105"/>
        </w:rPr>
        <w:t>Review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History</w:t>
      </w:r>
      <w:r>
        <w:rPr>
          <w:spacing w:val="4"/>
          <w:w w:val="105"/>
        </w:rPr>
        <w:t> </w:t>
      </w:r>
      <w:r>
        <w:rPr>
          <w:w w:val="105"/>
        </w:rPr>
        <w:t>Textbooks</w:t>
      </w:r>
      <w:r>
        <w:rPr>
          <w:spacing w:val="8"/>
          <w:w w:val="105"/>
        </w:rPr>
        <w:t> </w:t>
      </w:r>
      <w:r>
        <w:rPr>
          <w:w w:val="105"/>
        </w:rPr>
        <w:t>and</w:t>
      </w:r>
      <w:r>
        <w:rPr>
          <w:spacing w:val="6"/>
          <w:w w:val="105"/>
        </w:rPr>
        <w:t> </w:t>
      </w:r>
      <w:r>
        <w:rPr>
          <w:w w:val="105"/>
        </w:rPr>
        <w:t>Representation</w:t>
      </w:r>
      <w:r>
        <w:rPr>
          <w:spacing w:val="64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65"/>
          <w:w w:val="105"/>
          <w:position w:val="1"/>
        </w:rPr>
        <w:t> </w:t>
      </w:r>
      <w:r>
        <w:rPr>
          <w:w w:val="105"/>
        </w:rPr>
        <w:t>Oakwood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line="183" w:lineRule="exact" w:before="18"/>
        <w:ind w:left="435"/>
      </w:pPr>
      <w:r>
        <w:rPr>
          <w:w w:val="105"/>
        </w:rPr>
        <w:t>September</w:t>
      </w:r>
      <w:r>
        <w:rPr>
          <w:spacing w:val="13"/>
          <w:w w:val="105"/>
        </w:rPr>
        <w:t> </w:t>
      </w:r>
      <w:r>
        <w:rPr>
          <w:w w:val="105"/>
        </w:rPr>
        <w:t>2022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4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2022</w:t>
      </w:r>
    </w:p>
    <w:p>
      <w:pPr>
        <w:spacing w:after="0" w:line="183" w:lineRule="exact"/>
        <w:sectPr>
          <w:type w:val="continuous"/>
          <w:pgSz w:w="11920" w:h="16860"/>
          <w:pgMar w:top="580" w:bottom="280" w:left="420" w:right="180"/>
          <w:cols w:num="2" w:equalWidth="0">
            <w:col w:w="2511" w:space="930"/>
            <w:col w:w="7879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477124"/>
                            <a:ext cx="2400300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228975">
                                <a:moveTo>
                                  <a:pt x="0" y="3228974"/>
                                </a:moveTo>
                                <a:lnTo>
                                  <a:pt x="2400299" y="32289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210175">
                                <a:moveTo>
                                  <a:pt x="2400299" y="5210174"/>
                                </a:moveTo>
                                <a:lnTo>
                                  <a:pt x="0" y="52101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210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670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73404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41052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1200150">
                                <a:moveTo>
                                  <a:pt x="4967859" y="885812"/>
                                </a:moveTo>
                                <a:lnTo>
                                  <a:pt x="0" y="885812"/>
                                </a:lnTo>
                                <a:lnTo>
                                  <a:pt x="0" y="1200137"/>
                                </a:lnTo>
                                <a:lnTo>
                                  <a:pt x="4967859" y="1200137"/>
                                </a:lnTo>
                                <a:lnTo>
                                  <a:pt x="4967859" y="885812"/>
                                </a:lnTo>
                                <a:close/>
                              </a:path>
                              <a:path w="4968240" h="12001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315;top:11775;width:3780;height:5085" id="docshape2" filled="true" fillcolor="#6b8cbd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8205" id="docshape4" filled="true" fillcolor="#6b8cbd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145;width:255;height:300" type="#_x0000_t75" id="docshape6" stroked="false">
                  <v:imagedata r:id="rId7" o:title=""/>
                </v:shape>
                <v:shape style="position:absolute;left:855;top:5880;width:256;height:226" type="#_x0000_t75" id="docshape7" stroked="false">
                  <v:imagedata r:id="rId8" o:title=""/>
                </v:shape>
                <v:shape style="position:absolute;left:855;top:6465;width:255;height:263" type="#_x0000_t75" id="docshape8" stroked="false">
                  <v:imagedata r:id="rId9" o:title=""/>
                </v:shape>
                <v:shape style="position:absolute;left:4094;top:3795;width:7824;height:1890" id="docshape9" coordorigin="4095,3795" coordsize="7824,1890" path="m11918,5190l4095,5190,4095,5685,11918,5685,11918,5190xm11918,3795l4095,3795,4095,4290,11918,4290,11918,3795xe" filled="true" fillcolor="#6b8cbd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Policy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brief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22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Program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evaluation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Qualitative</w:t>
      </w:r>
      <w:r>
        <w:rPr>
          <w:color w:val="FFFFFF"/>
          <w:spacing w:val="1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1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School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accountability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State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education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policy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40" w:after="0"/>
        <w:ind w:left="732" w:right="47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Statistical summary </w:t>
      </w:r>
      <w:r>
        <w:rPr>
          <w:color w:val="FFFFFF"/>
          <w:spacing w:val="-2"/>
          <w:w w:val="105"/>
          <w:sz w:val="18"/>
        </w:rPr>
        <w:t>writing</w:t>
      </w:r>
    </w:p>
    <w:p>
      <w:pPr>
        <w:spacing w:line="240" w:lineRule="auto" w:before="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0" w:after="0"/>
        <w:ind w:left="732" w:right="5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Analyzed five popular high school history textbooks for cultural and racial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representation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95" w:after="0"/>
        <w:ind w:left="732" w:right="32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a content analysis to identify narrative patterns and omissions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civil rights coverage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204" w:lineRule="auto" w:before="78" w:after="0"/>
        <w:ind w:left="732" w:right="687" w:hanging="298"/>
        <w:jc w:val="left"/>
        <w:rPr>
          <w:position w:val="-2"/>
          <w:sz w:val="31"/>
        </w:rPr>
      </w:pPr>
      <w:r>
        <w:rPr>
          <w:w w:val="105"/>
          <w:sz w:val="18"/>
        </w:rPr>
        <w:t>Co-wrote a white paper for curriculum committees on inclusive teaching </w:t>
      </w:r>
      <w:r>
        <w:rPr>
          <w:spacing w:val="-2"/>
          <w:w w:val="105"/>
          <w:sz w:val="18"/>
        </w:rPr>
        <w:t>practices</w:t>
      </w:r>
    </w:p>
    <w:sectPr>
      <w:type w:val="continuous"/>
      <w:pgSz w:w="11920" w:h="16860"/>
      <w:pgMar w:top="580" w:bottom="280" w:left="420" w:right="180"/>
      <w:cols w:num="2" w:equalWidth="0">
        <w:col w:w="2884" w:space="799"/>
        <w:col w:w="76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3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9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wilson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2025-11-27T01:55:25Z</dcterms:created>
  <dcterms:modified xsi:type="dcterms:W3CDTF">2025-11-27T01:55:25Z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