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11"/>
        </w:rPr>
        <w:t>Jamie</w:t>
      </w:r>
      <w:r>
        <w:rPr>
          <w:spacing w:val="4"/>
        </w:rPr>
        <w:t> </w:t>
      </w:r>
      <w:r>
        <w:rPr>
          <w:spacing w:val="9"/>
        </w:rPr>
        <w:t>Wilson</w:t>
      </w:r>
    </w:p>
    <w:p>
      <w:pPr>
        <w:spacing w:before="139"/>
        <w:ind w:left="4042" w:right="0" w:firstLine="0"/>
        <w:jc w:val="center"/>
        <w:rPr>
          <w:b/>
          <w:sz w:val="26"/>
        </w:rPr>
      </w:pPr>
      <w:r>
        <w:rPr>
          <w:b/>
          <w:sz w:val="26"/>
        </w:rPr>
        <w:t>Entry</w:t>
      </w:r>
      <w:r>
        <w:rPr>
          <w:b/>
          <w:spacing w:val="33"/>
          <w:sz w:val="26"/>
        </w:rPr>
        <w:t> </w:t>
      </w:r>
      <w:r>
        <w:rPr>
          <w:b/>
          <w:sz w:val="26"/>
        </w:rPr>
        <w:t>Level</w:t>
      </w:r>
      <w:r>
        <w:rPr>
          <w:b/>
          <w:spacing w:val="34"/>
          <w:sz w:val="26"/>
        </w:rPr>
        <w:t> </w:t>
      </w:r>
      <w:r>
        <w:rPr>
          <w:b/>
          <w:sz w:val="26"/>
        </w:rPr>
        <w:t>Investment</w:t>
      </w:r>
      <w:r>
        <w:rPr>
          <w:b/>
          <w:spacing w:val="33"/>
          <w:sz w:val="26"/>
        </w:rPr>
        <w:t> </w:t>
      </w:r>
      <w:r>
        <w:rPr>
          <w:b/>
          <w:spacing w:val="-2"/>
          <w:sz w:val="26"/>
        </w:rPr>
        <w:t>Analyst</w:t>
      </w:r>
    </w:p>
    <w:p>
      <w:pPr>
        <w:spacing w:before="155"/>
        <w:ind w:left="4286" w:right="2" w:firstLine="0"/>
        <w:jc w:val="center"/>
        <w:rPr>
          <w:b/>
          <w:sz w:val="16"/>
        </w:rPr>
      </w:pPr>
      <w:r>
        <w:rPr>
          <w:b/>
          <w:w w:val="105"/>
          <w:sz w:val="16"/>
        </w:rPr>
        <w:t>investment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analyst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equity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research</w:t>
      </w:r>
      <w:r>
        <w:rPr>
          <w:b/>
          <w:spacing w:val="18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portfolio</w:t>
      </w:r>
      <w:r>
        <w:rPr>
          <w:b/>
          <w:spacing w:val="17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tracking</w:t>
      </w:r>
    </w:p>
    <w:p>
      <w:pPr>
        <w:spacing w:line="273" w:lineRule="auto" w:before="131"/>
        <w:ind w:left="4286" w:right="0" w:firstLine="0"/>
        <w:jc w:val="center"/>
        <w:rPr>
          <w:sz w:val="16"/>
        </w:rPr>
      </w:pPr>
      <w:r>
        <w:rPr>
          <w:w w:val="105"/>
          <w:sz w:val="16"/>
        </w:rPr>
        <w:t>Ambitious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analytical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finance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graduate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internship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investment research.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building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valuation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models,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tracking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market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performance,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 preparing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client-ready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reports.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Proficient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Bloomberg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Terminal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Excel-based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DCF </w:t>
      </w:r>
      <w:r>
        <w:rPr>
          <w:spacing w:val="-2"/>
          <w:w w:val="105"/>
          <w:sz w:val="16"/>
        </w:rPr>
        <w:t>modeling.</w:t>
      </w:r>
    </w:p>
    <w:p>
      <w:pPr>
        <w:pStyle w:val="BodyText"/>
        <w:rPr>
          <w:sz w:val="20"/>
        </w:rPr>
      </w:pPr>
    </w:p>
    <w:p>
      <w:pPr>
        <w:pStyle w:val="BodyText"/>
        <w:spacing w:before="2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500"/>
        </w:sectPr>
      </w:pPr>
    </w:p>
    <w:p>
      <w:pPr>
        <w:pStyle w:val="BodyText"/>
        <w:spacing w:before="273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48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533650">
                                <a:moveTo>
                                  <a:pt x="0" y="2533649"/>
                                </a:moveTo>
                                <a:lnTo>
                                  <a:pt x="5091683" y="2533649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48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533650">
                                <a:moveTo>
                                  <a:pt x="2476499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533650">
                                <a:moveTo>
                                  <a:pt x="2476499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482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790660"/>
                            <a:ext cx="2286000" cy="615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153150">
                                <a:moveTo>
                                  <a:pt x="2285999" y="6153063"/>
                                </a:moveTo>
                                <a:lnTo>
                                  <a:pt x="0" y="615306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1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5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8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8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1530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48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947737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9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79"/>
                                </a:lnTo>
                                <a:lnTo>
                                  <a:pt x="1493232" y="119639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3"/>
                                </a:lnTo>
                                <a:lnTo>
                                  <a:pt x="1766350" y="1696040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0"/>
                                </a:lnTo>
                                <a:lnTo>
                                  <a:pt x="1658383" y="1798834"/>
                                </a:lnTo>
                                <a:lnTo>
                                  <a:pt x="1619178" y="1829430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5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6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6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6"/>
                                </a:lnTo>
                                <a:lnTo>
                                  <a:pt x="864551" y="2017858"/>
                                </a:lnTo>
                                <a:lnTo>
                                  <a:pt x="815551" y="2009356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1"/>
                                </a:lnTo>
                                <a:lnTo>
                                  <a:pt x="450305" y="1858065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4"/>
                                </a:lnTo>
                                <a:lnTo>
                                  <a:pt x="332783" y="1766350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0"/>
                                </a:lnTo>
                                <a:lnTo>
                                  <a:pt x="229990" y="1658383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1006474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5242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8481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4862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381624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184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664825" stroked="false">
                  <v:path arrowok="t"/>
                  <v:fill type="solid"/>
                </v:shape>
                <v:rect style="position:absolute;left:3900;top:0;width:8019;height:3990" id="docshape3" filled="true" fillcolor="#664825" stroked="false">
                  <v:fill opacity="32899f" type="solid"/>
                </v:rect>
                <v:rect style="position:absolute;left:0;top:0;width:3900;height:3990" id="docshape4" filled="true" fillcolor="#ffffff" stroked="false">
                  <v:fill type="solid"/>
                </v:rect>
                <v:rect style="position:absolute;left:0;top:0;width:3900;height:3990" id="docshape5" filled="true" fillcolor="#664825" stroked="false">
                  <v:fill opacity="32899f" type="solid"/>
                </v:rect>
                <v:shape style="position:absolute;left:120;top:1245;width:3600;height:9690" id="docshape6" coordorigin="120,1245" coordsize="3600,9690" path="m3720,10935l120,10935,120,3023,123,2935,131,2847,143,2759,159,2672,179,2586,204,2501,233,2418,266,2336,302,2255,343,2177,388,2101,436,2027,487,1955,543,1886,601,1820,663,1757,728,1697,795,1640,866,1586,938,1536,1014,1490,1091,1447,1170,1408,1252,1374,1334,1343,1419,1316,1504,1294,1591,1275,1678,1261,1766,1252,1854,1246,1898,1245,1942,1245,2030,1248,2118,1256,2206,1268,2293,1284,2379,1304,2464,1329,2547,1358,2629,1391,2710,1427,2788,1468,2864,1513,2938,1561,3010,1612,3079,1668,3145,1726,3208,1788,3268,1853,3325,1920,3379,1991,3429,2063,3475,2139,3518,2216,3557,2295,3591,2377,3622,2459,3649,2544,3671,2629,3690,2716,3704,2803,3713,2891,3719,2979,3720,10935xe" filled="true" fillcolor="#664825" stroked="false">
                  <v:path arrowok="t"/>
                  <v:fill type="solid"/>
                </v:shape>
                <v:shape style="position:absolute;left:322;top:1492;width:3195;height:3195" id="docshape7" coordorigin="322,1492" coordsize="3195,3195" path="m322,3092l322,3088,323,3069,326,2990,332,2912,343,2835,357,2758,375,2681,397,2606,422,2532,452,2459,484,2388,520,2319,560,2251,602,2185,648,2122,697,2061,749,2002,804,1946,861,1893,921,1842,983,1795,1048,1751,1115,1710,1183,1672,1254,1637,1326,1607,1399,1579,1474,1556,1549,1536,1626,1519,1703,1507,1781,1498,1859,1494,1918,1492,1922,1492,2000,1494,2078,1500,2156,1510,2233,1523,2310,1540,2385,1561,2459,1586,2532,1614,2604,1646,2674,1681,2742,1720,2808,1761,2872,1807,2934,1855,2993,1906,3050,1960,3104,2017,3155,2076,3203,2138,3249,2202,3290,2268,3329,2336,3364,2406,3396,2478,3424,2551,3449,2625,3470,2700,3487,2777,3500,2854,3510,2932,3516,3010,3517,3088,3517,3092,3516,3170,3510,3248,3500,3326,3487,3403,3470,3480,3449,3555,3424,3629,3396,3702,3364,3774,3329,3844,3290,3912,3249,3978,3203,4042,3155,4104,3104,4163,3050,4220,2993,4274,2934,4325,2872,4373,2808,4419,2742,4460,2674,4499,2604,4534,2532,4566,2459,4594,2385,4619,2310,4640,2233,4657,2156,4670,2078,4680,2000,4686,1922,4687,1918,4687,1840,4686,1762,4680,1684,4670,1607,4657,1530,4640,1455,4619,1381,4594,1308,4566,1236,4534,1166,4499,1098,4460,1032,4419,968,4373,906,4325,847,4274,790,4220,736,4163,685,4104,637,4042,591,3978,550,3912,511,3844,476,3774,444,3702,416,3629,391,3555,370,3480,353,3403,340,3326,330,3248,324,3170,322,3092xe" filled="false" stroked="true" strokeweight="2.25pt" strokecolor="#ffffff">
                  <v:path arrowok="t"/>
                  <v:stroke dashstyle="solid"/>
                </v:shape>
                <v:shape style="position:absolute;left:405;top:1585;width:3030;height:3020" type="#_x0000_t75" id="docshape8" stroked="false">
                  <v:imagedata r:id="rId5" o:title=""/>
                </v:shape>
                <v:shape style="position:absolute;left:630;top:5550;width:317;height:317" type="#_x0000_t75" id="docshape9" stroked="false">
                  <v:imagedata r:id="rId6" o:title=""/>
                </v:shape>
                <v:shape style="position:absolute;left:650;top:6060;width:275;height:317" type="#_x0000_t75" id="docshape10" stroked="false">
                  <v:imagedata r:id="rId7" o:title=""/>
                </v:shape>
                <v:shape style="position:absolute;left:630;top:6576;width:317;height:274" type="#_x0000_t75" id="docshape11" stroked="false">
                  <v:imagedata r:id="rId8" o:title=""/>
                </v:shape>
                <v:shape style="position:absolute;left:631;top:7065;width:315;height:317" type="#_x0000_t75" id="docshape12" stroked="false">
                  <v:imagedata r:id="rId9" o:title=""/>
                </v:shape>
                <v:shape style="position:absolute;left:629;top:8475;width:75;height:1710" id="docshape13" coordorigin="630,8475" coordsize="75,1710" path="m705,10142l704,10137,700,10128,698,10124,691,10117,687,10115,678,10111,673,10110,662,10110,657,10111,648,10115,644,10117,637,10124,635,10128,631,10137,630,10142,630,10148,630,10153,631,10158,635,10167,637,10171,644,10178,648,10180,657,10184,662,10185,673,10185,678,10184,687,10180,691,10178,698,10171,700,10167,704,10158,705,10153,705,10142xm705,9812l704,9807,700,9798,698,9794,691,9787,687,9785,678,9781,673,9780,662,9780,657,9781,648,9785,644,9787,637,9794,635,9798,631,9807,630,9812,630,9818,630,9823,631,9828,635,9837,637,9841,644,9848,648,9850,657,9854,662,9855,673,9855,678,9854,687,9850,691,9848,698,9841,700,9837,704,9828,705,9823,705,9812xm705,9482l704,9477,700,9468,698,9464,691,9457,687,9455,678,9451,673,9450,662,9450,657,9451,648,9455,644,9457,637,9464,635,9468,631,9477,630,9482,630,9488,630,9493,631,9498,635,9507,637,9511,644,9518,648,9520,657,9524,662,9525,673,9525,678,9524,687,9520,691,9518,698,9511,700,9507,704,9498,705,9493,705,9482xm705,9167l704,9162,700,9153,698,9149,691,9142,687,9140,678,9136,673,9135,662,9135,657,9136,648,9140,644,9142,637,9149,635,9153,631,9162,630,9167,630,9173,630,9178,631,9183,635,9192,637,9196,644,9203,648,9205,657,9209,662,9210,673,9210,678,9209,687,9205,691,9203,698,9196,700,9192,704,9183,705,9178,705,9167xm705,8837l704,8832,700,8823,698,8819,691,8812,687,8810,678,8806,673,8805,662,8805,657,8806,648,8810,644,8812,637,8819,635,8823,631,8832,630,8837,630,8843,630,8848,631,8853,635,8862,637,8866,644,8873,648,8875,657,8879,662,8880,673,8880,678,8879,687,8875,691,8873,698,8866,700,8862,704,8853,705,8848,705,8837xm705,8507l704,8502,700,8493,698,8489,691,8482,687,8480,678,8476,673,8475,662,8475,657,8476,648,8480,644,8482,637,8489,635,8493,631,8502,630,8507,630,8513,630,8518,631,8523,635,8532,637,8536,644,8543,648,8545,657,8549,662,8550,673,8550,678,8549,687,8545,691,8543,698,8536,700,8532,704,8523,705,8518,705,850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pStyle w:val="BodyText"/>
        <w:spacing w:before="215"/>
        <w:ind w:left="918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73" w:lineRule="auto"/>
        <w:ind w:left="918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6"/>
        <w:ind w:left="918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BodyText"/>
      </w:pPr>
    </w:p>
    <w:p>
      <w:pPr>
        <w:pStyle w:val="BodyText"/>
        <w:spacing w:before="157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9" w:lineRule="auto" w:before="171"/>
        <w:ind w:left="750" w:right="233"/>
      </w:pPr>
      <w:r>
        <w:rPr>
          <w:color w:val="FFFFFF"/>
          <w:w w:val="105"/>
        </w:rPr>
        <w:t>DCF modeling Equity research Excel analysis </w:t>
      </w:r>
      <w:r>
        <w:rPr>
          <w:color w:val="FFFFFF"/>
          <w:spacing w:val="-2"/>
          <w:w w:val="105"/>
        </w:rPr>
        <w:t>Investment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strategy </w:t>
      </w:r>
      <w:r>
        <w:rPr>
          <w:color w:val="FFFFFF"/>
          <w:w w:val="105"/>
        </w:rPr>
        <w:t>Portfolio tracking </w:t>
      </w:r>
      <w:r>
        <w:rPr>
          <w:color w:val="FFFFFF"/>
          <w:spacing w:val="-2"/>
          <w:w w:val="105"/>
        </w:rPr>
        <w:t>Valuation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spacing w:val="-2"/>
        </w:rPr>
        <w:t>PROFESSIONAL</w:t>
      </w:r>
      <w:r>
        <w:rPr>
          <w:spacing w:val="-8"/>
        </w:rPr>
        <w:t> </w:t>
      </w:r>
      <w:r>
        <w:rPr>
          <w:spacing w:val="-2"/>
        </w:rPr>
        <w:t>EXPERIENCE</w:t>
      </w:r>
    </w:p>
    <w:p>
      <w:pPr>
        <w:pStyle w:val="BodyText"/>
        <w:spacing w:before="141"/>
        <w:ind w:left="267"/>
      </w:pP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w w:val="105"/>
        </w:rPr>
        <w:t>2023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August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Heading2"/>
        <w:rPr>
          <w:b w:val="0"/>
        </w:rPr>
      </w:pPr>
      <w:r>
        <w:rPr>
          <w:w w:val="105"/>
        </w:rPr>
        <w:t>Investment</w:t>
      </w:r>
      <w:r>
        <w:rPr>
          <w:spacing w:val="8"/>
          <w:w w:val="105"/>
        </w:rPr>
        <w:t> </w:t>
      </w:r>
      <w:r>
        <w:rPr>
          <w:w w:val="105"/>
        </w:rPr>
        <w:t>Research</w:t>
      </w:r>
      <w:r>
        <w:rPr>
          <w:spacing w:val="7"/>
          <w:w w:val="105"/>
        </w:rPr>
        <w:t> </w:t>
      </w:r>
      <w:r>
        <w:rPr>
          <w:w w:val="105"/>
        </w:rPr>
        <w:t>Intern,</w:t>
      </w:r>
      <w:r>
        <w:rPr>
          <w:spacing w:val="8"/>
          <w:w w:val="105"/>
        </w:rPr>
        <w:t> </w:t>
      </w:r>
      <w:r>
        <w:rPr>
          <w:w w:val="105"/>
        </w:rPr>
        <w:t>Elevate</w:t>
      </w:r>
      <w:r>
        <w:rPr>
          <w:spacing w:val="7"/>
          <w:w w:val="105"/>
        </w:rPr>
        <w:t> </w:t>
      </w:r>
      <w:r>
        <w:rPr>
          <w:w w:val="105"/>
        </w:rPr>
        <w:t>Capital</w:t>
      </w:r>
      <w:r>
        <w:rPr>
          <w:spacing w:val="8"/>
          <w:w w:val="105"/>
        </w:rPr>
        <w:t> </w:t>
      </w:r>
      <w:r>
        <w:rPr>
          <w:w w:val="105"/>
        </w:rPr>
        <w:t>Group</w:t>
      </w:r>
      <w:r>
        <w:rPr>
          <w:spacing w:val="8"/>
          <w:w w:val="105"/>
        </w:rPr>
        <w:t> </w:t>
      </w:r>
      <w:r>
        <w:rPr>
          <w:b w:val="0"/>
          <w:w w:val="105"/>
        </w:rPr>
        <w:t>|</w:t>
      </w:r>
      <w:r>
        <w:rPr>
          <w:b w:val="0"/>
          <w:spacing w:val="8"/>
          <w:w w:val="105"/>
        </w:rPr>
        <w:t> </w:t>
      </w:r>
      <w:r>
        <w:rPr>
          <w:b w:val="0"/>
          <w:w w:val="105"/>
        </w:rPr>
        <w:t>Denver,</w:t>
      </w:r>
      <w:r>
        <w:rPr>
          <w:b w:val="0"/>
          <w:spacing w:val="8"/>
          <w:w w:val="105"/>
        </w:rPr>
        <w:t> </w:t>
      </w:r>
      <w:r>
        <w:rPr>
          <w:b w:val="0"/>
          <w:spacing w:val="-5"/>
          <w:w w:val="105"/>
        </w:rPr>
        <w:t>CO</w:t>
      </w:r>
    </w:p>
    <w:p>
      <w:pPr>
        <w:pStyle w:val="BodyText"/>
        <w:tabs>
          <w:tab w:pos="1029" w:val="left" w:leader="none"/>
        </w:tabs>
        <w:spacing w:line="261" w:lineRule="auto" w:before="153"/>
        <w:ind w:left="1029" w:right="313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Built discounted cash flow (DCF) models for 10 public companies in the</w:t>
      </w:r>
      <w:r>
        <w:rPr>
          <w:spacing w:val="40"/>
          <w:w w:val="105"/>
        </w:rPr>
        <w:t> </w:t>
      </w:r>
      <w:r>
        <w:rPr>
          <w:w w:val="105"/>
        </w:rPr>
        <w:t>industrial sector</w:t>
      </w:r>
    </w:p>
    <w:p>
      <w:pPr>
        <w:pStyle w:val="BodyText"/>
        <w:tabs>
          <w:tab w:pos="1029" w:val="left" w:leader="none"/>
        </w:tabs>
        <w:spacing w:line="381" w:lineRule="auto" w:before="104"/>
        <w:ind w:left="738" w:right="399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Created</w:t>
      </w:r>
      <w:r>
        <w:rPr>
          <w:spacing w:val="25"/>
          <w:w w:val="105"/>
        </w:rPr>
        <w:t> </w:t>
      </w:r>
      <w:r>
        <w:rPr>
          <w:w w:val="105"/>
        </w:rPr>
        <w:t>investor</w:t>
      </w:r>
      <w:r>
        <w:rPr>
          <w:spacing w:val="25"/>
          <w:w w:val="105"/>
        </w:rPr>
        <w:t> </w:t>
      </w:r>
      <w:r>
        <w:rPr>
          <w:w w:val="105"/>
        </w:rPr>
        <w:t>presentations</w:t>
      </w:r>
      <w:r>
        <w:rPr>
          <w:spacing w:val="25"/>
          <w:w w:val="105"/>
        </w:rPr>
        <w:t> </w:t>
      </w:r>
      <w:r>
        <w:rPr>
          <w:w w:val="105"/>
        </w:rPr>
        <w:t>and</w:t>
      </w:r>
      <w:r>
        <w:rPr>
          <w:spacing w:val="25"/>
          <w:w w:val="105"/>
        </w:rPr>
        <w:t> </w:t>
      </w:r>
      <w:r>
        <w:rPr>
          <w:w w:val="105"/>
        </w:rPr>
        <w:t>performance</w:t>
      </w:r>
      <w:r>
        <w:rPr>
          <w:spacing w:val="25"/>
          <w:w w:val="105"/>
        </w:rPr>
        <w:t> </w:t>
      </w:r>
      <w:r>
        <w:rPr>
          <w:w w:val="105"/>
        </w:rPr>
        <w:t>summaries</w:t>
      </w:r>
      <w:r>
        <w:rPr>
          <w:spacing w:val="25"/>
          <w:w w:val="105"/>
        </w:rPr>
        <w:t> </w:t>
      </w:r>
      <w:r>
        <w:rPr>
          <w:w w:val="105"/>
        </w:rPr>
        <w:t>for</w:t>
      </w:r>
      <w:r>
        <w:rPr>
          <w:spacing w:val="25"/>
          <w:w w:val="105"/>
        </w:rPr>
        <w:t> </w:t>
      </w:r>
      <w:r>
        <w:rPr>
          <w:w w:val="105"/>
        </w:rPr>
        <w:t>clients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Monitored portfolio allocations and tracked index benchmarks</w:t>
      </w:r>
    </w:p>
    <w:p>
      <w:pPr>
        <w:pStyle w:val="BodyText"/>
        <w:spacing w:before="31"/>
        <w:ind w:left="267"/>
      </w:pPr>
      <w:r>
        <w:rPr>
          <w:w w:val="105"/>
        </w:rPr>
        <w:t>September</w:t>
      </w:r>
      <w:r>
        <w:rPr>
          <w:spacing w:val="10"/>
          <w:w w:val="105"/>
        </w:rPr>
        <w:t> </w:t>
      </w:r>
      <w:r>
        <w:rPr>
          <w:w w:val="105"/>
        </w:rPr>
        <w:t>2022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Heading2"/>
      </w:pPr>
      <w:r>
        <w:rPr>
          <w:w w:val="105"/>
        </w:rPr>
        <w:t>Finance</w:t>
      </w:r>
      <w:r>
        <w:rPr>
          <w:spacing w:val="6"/>
          <w:w w:val="105"/>
        </w:rPr>
        <w:t> </w:t>
      </w:r>
      <w:r>
        <w:rPr>
          <w:w w:val="105"/>
        </w:rPr>
        <w:t>Tutor,</w:t>
      </w:r>
      <w:r>
        <w:rPr>
          <w:spacing w:val="8"/>
          <w:w w:val="105"/>
        </w:rPr>
        <w:t> </w:t>
      </w:r>
      <w:r>
        <w:rPr>
          <w:w w:val="105"/>
        </w:rPr>
        <w:t>University</w:t>
      </w:r>
      <w:r>
        <w:rPr>
          <w:spacing w:val="7"/>
          <w:w w:val="105"/>
        </w:rPr>
        <w:t> </w:t>
      </w:r>
      <w:r>
        <w:rPr>
          <w:w w:val="105"/>
        </w:rPr>
        <w:t>Finance</w:t>
      </w:r>
      <w:r>
        <w:rPr>
          <w:spacing w:val="7"/>
          <w:w w:val="105"/>
        </w:rPr>
        <w:t> </w:t>
      </w:r>
      <w:r>
        <w:rPr>
          <w:w w:val="105"/>
        </w:rPr>
        <w:t>Lab,</w:t>
      </w:r>
      <w:r>
        <w:rPr>
          <w:spacing w:val="8"/>
          <w:w w:val="105"/>
        </w:rPr>
        <w:t> </w:t>
      </w:r>
      <w:r>
        <w:rPr>
          <w:w w:val="105"/>
        </w:rPr>
        <w:t>University</w:t>
      </w:r>
      <w:r>
        <w:rPr>
          <w:spacing w:val="7"/>
          <w:w w:val="105"/>
        </w:rPr>
        <w:t> </w:t>
      </w:r>
      <w:r>
        <w:rPr>
          <w:w w:val="105"/>
        </w:rPr>
        <w:t>of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Colorado</w:t>
      </w:r>
    </w:p>
    <w:p>
      <w:pPr>
        <w:pStyle w:val="BodyText"/>
        <w:tabs>
          <w:tab w:pos="1029" w:val="left" w:leader="none"/>
        </w:tabs>
        <w:spacing w:line="261" w:lineRule="auto" w:before="153"/>
        <w:ind w:left="1029" w:right="399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Provided academic support for finance majors in valuation and financial</w:t>
      </w:r>
      <w:r>
        <w:rPr>
          <w:spacing w:val="40"/>
          <w:w w:val="105"/>
        </w:rPr>
        <w:t> </w:t>
      </w:r>
      <w:r>
        <w:rPr>
          <w:w w:val="105"/>
        </w:rPr>
        <w:t>modeling coursework</w:t>
      </w:r>
    </w:p>
    <w:p>
      <w:pPr>
        <w:pStyle w:val="BodyText"/>
        <w:tabs>
          <w:tab w:pos="1029" w:val="left" w:leader="none"/>
        </w:tabs>
        <w:spacing w:line="278" w:lineRule="auto" w:before="104"/>
        <w:ind w:left="1029" w:right="313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 over 100 students with understanding equity and bond pricing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fundamentals</w:t>
      </w:r>
    </w:p>
    <w:p>
      <w:pPr>
        <w:pStyle w:val="BodyText"/>
        <w:spacing w:before="16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Heading2"/>
        <w:spacing w:before="141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8"/>
          <w:w w:val="105"/>
        </w:rPr>
        <w:t> </w:t>
      </w:r>
      <w:r>
        <w:rPr>
          <w:w w:val="105"/>
        </w:rPr>
        <w:t>(B.S.)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Finance</w:t>
      </w:r>
    </w:p>
    <w:p>
      <w:pPr>
        <w:pStyle w:val="BodyText"/>
        <w:spacing w:before="33"/>
        <w:ind w:left="267"/>
      </w:pPr>
      <w:r>
        <w:rPr>
          <w:w w:val="105"/>
        </w:rPr>
        <w:t>University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Colorado,</w:t>
      </w:r>
      <w:r>
        <w:rPr>
          <w:spacing w:val="9"/>
          <w:w w:val="105"/>
        </w:rPr>
        <w:t> </w:t>
      </w:r>
      <w:r>
        <w:rPr>
          <w:w w:val="105"/>
        </w:rPr>
        <w:t>Boulder,</w:t>
      </w:r>
      <w:r>
        <w:rPr>
          <w:spacing w:val="9"/>
          <w:w w:val="105"/>
        </w:rPr>
        <w:t> </w:t>
      </w:r>
      <w:r>
        <w:rPr>
          <w:w w:val="105"/>
        </w:rPr>
        <w:t>CO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2023</w:t>
      </w:r>
    </w:p>
    <w:sectPr>
      <w:type w:val="continuous"/>
      <w:pgSz w:w="11920" w:h="16860"/>
      <w:pgMar w:top="940" w:bottom="280" w:left="180" w:right="500"/>
      <w:cols w:num="2" w:equalWidth="0">
        <w:col w:w="2697" w:space="1005"/>
        <w:col w:w="753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3"/>
      <w:ind w:left="26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403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2025-11-27T12:23:01Z</dcterms:created>
  <dcterms:modified xsi:type="dcterms:W3CDTF">2025-11-27T12:23:01Z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