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83" w:right="11" w:firstLine="0"/>
        <w:jc w:val="center"/>
        <w:rPr>
          <w:b/>
          <w:sz w:val="82"/>
        </w:rPr>
      </w:pPr>
      <w:r>
        <w:rPr>
          <w:rFonts w:ascii="Microsoft Sans Serif"/>
          <w:spacing w:val="11"/>
          <w:sz w:val="82"/>
        </w:rPr>
        <w:t>Jordan</w:t>
      </w:r>
      <w:r>
        <w:rPr>
          <w:rFonts w:ascii="Microsoft Sans Serif"/>
          <w:spacing w:val="26"/>
          <w:w w:val="150"/>
          <w:sz w:val="82"/>
        </w:rPr>
        <w:t> </w:t>
      </w:r>
      <w:r>
        <w:rPr>
          <w:b/>
          <w:spacing w:val="-2"/>
          <w:sz w:val="82"/>
        </w:rPr>
        <w:t>Miller</w:t>
      </w:r>
    </w:p>
    <w:p>
      <w:pPr>
        <w:spacing w:before="153"/>
        <w:ind w:left="4183" w:right="52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4"/>
          <w:sz w:val="28"/>
        </w:rPr>
        <w:t>C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4"/>
          <w:sz w:val="28"/>
        </w:rPr>
        <w:t>P</w:t>
      </w:r>
      <w:r>
        <w:rPr>
          <w:rFonts w:ascii="Microsoft Sans Serif"/>
          <w:spacing w:val="-33"/>
          <w:sz w:val="28"/>
        </w:rPr>
        <w:t> </w:t>
      </w:r>
      <w:r>
        <w:rPr>
          <w:rFonts w:ascii="Microsoft Sans Serif"/>
          <w:spacing w:val="-4"/>
          <w:sz w:val="28"/>
        </w:rPr>
        <w:t>A</w:t>
      </w:r>
      <w:r>
        <w:rPr>
          <w:rFonts w:ascii="Microsoft Sans Serif"/>
          <w:spacing w:val="39"/>
          <w:sz w:val="28"/>
        </w:rPr>
        <w:t> </w:t>
      </w:r>
      <w:r>
        <w:rPr>
          <w:rFonts w:ascii="Microsoft Sans Serif"/>
          <w:spacing w:val="-4"/>
          <w:sz w:val="28"/>
        </w:rPr>
        <w:t>T</w:t>
      </w:r>
      <w:r>
        <w:rPr>
          <w:rFonts w:ascii="Microsoft Sans Serif"/>
          <w:spacing w:val="-37"/>
          <w:sz w:val="28"/>
        </w:rPr>
        <w:t> </w:t>
      </w:r>
      <w:r>
        <w:rPr>
          <w:rFonts w:ascii="Microsoft Sans Serif"/>
          <w:spacing w:val="-4"/>
          <w:sz w:val="28"/>
        </w:rPr>
        <w:t>A</w:t>
      </w:r>
      <w:r>
        <w:rPr>
          <w:rFonts w:ascii="Microsoft Sans Serif"/>
          <w:spacing w:val="-14"/>
          <w:sz w:val="28"/>
        </w:rPr>
        <w:t> </w:t>
      </w:r>
      <w:r>
        <w:rPr>
          <w:rFonts w:ascii="Microsoft Sans Serif"/>
          <w:spacing w:val="-4"/>
          <w:sz w:val="28"/>
        </w:rPr>
        <w:t>X</w:t>
      </w:r>
      <w:r>
        <w:rPr>
          <w:rFonts w:ascii="Microsoft Sans Serif"/>
          <w:spacing w:val="58"/>
          <w:sz w:val="28"/>
        </w:rPr>
        <w:t> </w:t>
      </w:r>
      <w:r>
        <w:rPr>
          <w:rFonts w:ascii="Microsoft Sans Serif"/>
          <w:spacing w:val="-4"/>
          <w:sz w:val="28"/>
        </w:rPr>
        <w:t>C</w:t>
      </w:r>
      <w:r>
        <w:rPr>
          <w:rFonts w:ascii="Microsoft Sans Serif"/>
          <w:spacing w:val="-25"/>
          <w:sz w:val="28"/>
        </w:rPr>
        <w:t> </w:t>
      </w:r>
      <w:r>
        <w:rPr>
          <w:rFonts w:ascii="Microsoft Sans Serif"/>
          <w:spacing w:val="-4"/>
          <w:sz w:val="28"/>
        </w:rPr>
        <w:t>O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4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4"/>
          <w:sz w:val="28"/>
        </w:rPr>
        <w:t>S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4"/>
          <w:sz w:val="28"/>
        </w:rPr>
        <w:t>U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4"/>
          <w:sz w:val="28"/>
        </w:rPr>
        <w:t>LT</w:t>
      </w:r>
      <w:r>
        <w:rPr>
          <w:rFonts w:ascii="Microsoft Sans Serif"/>
          <w:spacing w:val="-37"/>
          <w:sz w:val="28"/>
        </w:rPr>
        <w:t> </w:t>
      </w:r>
      <w:r>
        <w:rPr>
          <w:rFonts w:ascii="Microsoft Sans Serif"/>
          <w:spacing w:val="-4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4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10"/>
          <w:sz w:val="28"/>
        </w:rPr>
        <w:t>T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before="1"/>
        <w:ind w:left="4183" w:right="0" w:firstLine="0"/>
        <w:jc w:val="center"/>
        <w:rPr>
          <w:b/>
          <w:sz w:val="18"/>
        </w:rPr>
      </w:pPr>
      <w:r>
        <w:rPr>
          <w:b/>
          <w:w w:val="105"/>
          <w:sz w:val="18"/>
        </w:rPr>
        <w:t>strategic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cpa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expertise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tax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consulting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compliance</w:t>
      </w:r>
    </w:p>
    <w:p>
      <w:pPr>
        <w:spacing w:line="278" w:lineRule="auto" w:before="138"/>
        <w:ind w:left="4293" w:right="107" w:hanging="1"/>
        <w:jc w:val="center"/>
        <w:rPr>
          <w:sz w:val="18"/>
        </w:rPr>
      </w:pPr>
      <w:r>
        <w:rPr>
          <w:w w:val="105"/>
          <w:sz w:val="18"/>
        </w:rPr>
        <w:t>CPA with 10 years of experience advising businesses and individuals on tax strategies. Expert in navigating federal and state tax codes, managing audits,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reducing liabilities.</w:t>
      </w:r>
    </w:p>
    <w:p>
      <w:pPr>
        <w:pStyle w:val="BodyText"/>
        <w:spacing w:before="219"/>
        <w:rPr>
          <w:sz w:val="33"/>
        </w:rPr>
      </w:pPr>
    </w:p>
    <w:p>
      <w:pPr>
        <w:pStyle w:val="Heading1"/>
        <w:tabs>
          <w:tab w:pos="4026" w:val="left" w:leader="none"/>
        </w:tabs>
        <w:spacing w:before="0"/>
      </w:pPr>
      <w:r>
        <w:rPr>
          <w:spacing w:val="-2"/>
        </w:rPr>
        <w:t>CONTACT</w:t>
      </w:r>
      <w:r>
        <w:rPr/>
        <w:tab/>
      </w:r>
      <w:r>
        <w:rPr>
          <w:spacing w:val="-8"/>
          <w:position w:val="1"/>
        </w:rPr>
        <w:t>PROFESSIONAL</w:t>
      </w:r>
      <w:r>
        <w:rPr>
          <w:spacing w:val="-6"/>
          <w:position w:val="1"/>
        </w:rPr>
        <w:t> </w:t>
      </w:r>
      <w:r>
        <w:rPr>
          <w:spacing w:val="-2"/>
          <w:position w:val="1"/>
        </w:rPr>
        <w:t>EXPERIENCE</w:t>
      </w:r>
    </w:p>
    <w:p>
      <w:pPr>
        <w:pStyle w:val="BodyText"/>
        <w:spacing w:before="9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820" w:bottom="280" w:left="400" w:right="380"/>
        </w:sectPr>
      </w:pPr>
    </w:p>
    <w:p>
      <w:pPr>
        <w:pStyle w:val="BodyText"/>
        <w:spacing w:before="154"/>
        <w:ind w:left="864"/>
      </w:pPr>
      <w:r>
        <w:rPr>
          <w:spacing w:val="-2"/>
          <w:w w:val="105"/>
        </w:rPr>
        <w:t>(555)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567-</w:t>
      </w:r>
      <w:r>
        <w:rPr>
          <w:spacing w:val="-4"/>
          <w:w w:val="105"/>
        </w:rPr>
        <w:t>8901</w:t>
      </w:r>
    </w:p>
    <w:p>
      <w:pPr>
        <w:pStyle w:val="BodyText"/>
        <w:spacing w:line="526" w:lineRule="exact" w:before="70"/>
        <w:ind w:left="864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Heading2"/>
        <w:spacing w:before="75"/>
        <w:ind w:left="864"/>
      </w:pPr>
      <w:r>
        <w:rPr/>
        <w:br w:type="column"/>
      </w:r>
      <w:r>
        <w:rPr>
          <w:spacing w:val="-2"/>
          <w:w w:val="105"/>
        </w:rPr>
        <w:t>Tax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Consultant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Westbridge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Advisory,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391" w:lineRule="auto" w:before="1"/>
        <w:ind w:left="1403" w:right="837"/>
      </w:pPr>
      <w:r>
        <w:rPr>
          <w:w w:val="105"/>
        </w:rPr>
        <w:t>Saved clients over $1.2M through strategic planning and credit optimization Defended clients in 10+ IRS audits with full documentation packages Consults on business structuring for tax efﬁciency</w:t>
      </w:r>
    </w:p>
    <w:p>
      <w:pPr>
        <w:spacing w:after="0" w:line="391" w:lineRule="auto"/>
        <w:sectPr>
          <w:type w:val="continuous"/>
          <w:pgSz w:w="11920" w:h="16860"/>
          <w:pgMar w:top="820" w:bottom="280" w:left="400" w:right="380"/>
          <w:cols w:num="2" w:equalWidth="0">
            <w:col w:w="2470" w:space="692"/>
            <w:col w:w="7978"/>
          </w:cols>
        </w:sectPr>
      </w:pPr>
    </w:p>
    <w:p>
      <w:pPr>
        <w:pStyle w:val="BodyText"/>
        <w:spacing w:before="56"/>
      </w:pPr>
    </w:p>
    <w:p>
      <w:pPr>
        <w:pStyle w:val="BodyText"/>
        <w:ind w:left="864"/>
      </w:pPr>
      <w:r>
        <w:rPr>
          <w:spacing w:val="-2"/>
          <w:w w:val="105"/>
        </w:rPr>
        <w:t>Los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90012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before="260"/>
        <w:ind w:left="678"/>
      </w:pPr>
      <w:r>
        <w:rPr>
          <w:spacing w:val="-7"/>
          <w:w w:val="105"/>
        </w:rPr>
        <w:t>Tax</w:t>
      </w:r>
      <w:r>
        <w:rPr>
          <w:spacing w:val="-2"/>
          <w:w w:val="105"/>
        </w:rPr>
        <w:t> planning</w:t>
      </w:r>
    </w:p>
    <w:p>
      <w:pPr>
        <w:pStyle w:val="BodyText"/>
        <w:spacing w:line="391" w:lineRule="auto" w:before="116"/>
        <w:ind w:left="678" w:right="251"/>
      </w:pPr>
      <w:r>
        <w:rPr>
          <w:w w:val="105"/>
        </w:rPr>
        <w:t>IRS audit support Business</w:t>
      </w:r>
      <w:r>
        <w:rPr>
          <w:spacing w:val="-12"/>
          <w:w w:val="105"/>
        </w:rPr>
        <w:t> </w:t>
      </w:r>
      <w:r>
        <w:rPr>
          <w:w w:val="105"/>
        </w:rPr>
        <w:t>entity</w:t>
      </w:r>
      <w:r>
        <w:rPr>
          <w:spacing w:val="-12"/>
          <w:w w:val="105"/>
        </w:rPr>
        <w:t> </w:t>
      </w:r>
      <w:r>
        <w:rPr>
          <w:w w:val="105"/>
        </w:rPr>
        <w:t>structuring</w:t>
      </w:r>
    </w:p>
    <w:p>
      <w:pPr>
        <w:pStyle w:val="BodyText"/>
        <w:spacing w:line="391" w:lineRule="auto" w:before="15"/>
        <w:ind w:left="678"/>
      </w:pPr>
      <w:r>
        <w:rPr>
          <w:w w:val="105"/>
        </w:rPr>
        <w:t>State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federal</w:t>
      </w:r>
      <w:r>
        <w:rPr>
          <w:spacing w:val="-11"/>
          <w:w w:val="105"/>
        </w:rPr>
        <w:t> </w:t>
      </w:r>
      <w:r>
        <w:rPr>
          <w:w w:val="105"/>
        </w:rPr>
        <w:t>compliance QuickBooks and UltraTax</w:t>
      </w:r>
    </w:p>
    <w:p>
      <w:pPr>
        <w:pStyle w:val="Heading2"/>
        <w:spacing w:line="278" w:lineRule="auto"/>
        <w:ind w:right="416"/>
      </w:pPr>
      <w:r>
        <w:rPr/>
        <w:br w:type="column"/>
      </w:r>
      <w:r>
        <w:rPr>
          <w:w w:val="105"/>
        </w:rPr>
        <w:t>Senior</w:t>
      </w:r>
      <w:r>
        <w:rPr>
          <w:spacing w:val="-14"/>
          <w:w w:val="105"/>
        </w:rPr>
        <w:t> </w:t>
      </w:r>
      <w:r>
        <w:rPr>
          <w:w w:val="105"/>
        </w:rPr>
        <w:t>Tax</w:t>
      </w:r>
      <w:r>
        <w:rPr>
          <w:spacing w:val="-13"/>
          <w:w w:val="105"/>
        </w:rPr>
        <w:t> </w:t>
      </w:r>
      <w:r>
        <w:rPr>
          <w:w w:val="105"/>
        </w:rPr>
        <w:t>Associate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Daniels</w:t>
      </w:r>
      <w:r>
        <w:rPr>
          <w:spacing w:val="-13"/>
          <w:w w:val="105"/>
        </w:rPr>
        <w:t> </w:t>
      </w:r>
      <w:r>
        <w:rPr>
          <w:w w:val="105"/>
        </w:rPr>
        <w:t>&amp;</w:t>
      </w:r>
      <w:r>
        <w:rPr>
          <w:spacing w:val="-13"/>
          <w:w w:val="105"/>
        </w:rPr>
        <w:t> </w:t>
      </w:r>
      <w:r>
        <w:rPr>
          <w:w w:val="105"/>
        </w:rPr>
        <w:t>Carr</w:t>
      </w:r>
      <w:r>
        <w:rPr>
          <w:spacing w:val="-13"/>
          <w:w w:val="105"/>
        </w:rPr>
        <w:t> </w:t>
      </w:r>
      <w:r>
        <w:rPr>
          <w:w w:val="105"/>
        </w:rPr>
        <w:t>CPAs,</w:t>
      </w:r>
      <w:r>
        <w:rPr>
          <w:spacing w:val="-14"/>
          <w:w w:val="105"/>
        </w:rPr>
        <w:t> </w:t>
      </w:r>
      <w:r>
        <w:rPr>
          <w:w w:val="105"/>
        </w:rPr>
        <w:t>Los</w:t>
      </w:r>
      <w:r>
        <w:rPr>
          <w:spacing w:val="-13"/>
          <w:w w:val="105"/>
        </w:rPr>
        <w:t> </w:t>
      </w:r>
      <w:r>
        <w:rPr>
          <w:w w:val="105"/>
        </w:rPr>
        <w:t>Angeles,</w:t>
      </w:r>
      <w:r>
        <w:rPr>
          <w:spacing w:val="-13"/>
          <w:w w:val="105"/>
        </w:rPr>
        <w:t> </w:t>
      </w:r>
      <w:r>
        <w:rPr>
          <w:w w:val="105"/>
        </w:rPr>
        <w:t>CA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2014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June </w:t>
      </w:r>
      <w:r>
        <w:rPr>
          <w:spacing w:val="-4"/>
          <w:w w:val="105"/>
        </w:rPr>
        <w:t>2018</w:t>
      </w:r>
    </w:p>
    <w:p>
      <w:pPr>
        <w:pStyle w:val="BodyText"/>
        <w:spacing w:before="52"/>
        <w:rPr>
          <w:sz w:val="18"/>
        </w:rPr>
      </w:pPr>
    </w:p>
    <w:p>
      <w:pPr>
        <w:pStyle w:val="BodyText"/>
        <w:spacing w:line="391" w:lineRule="auto"/>
        <w:ind w:left="641" w:right="416"/>
      </w:pPr>
      <w:r>
        <w:rPr>
          <w:w w:val="105"/>
        </w:rPr>
        <w:t>Filed corporate, partnership, and individual returns for 150+ clients annually Advised startups on ﬁrst-year tax compliance</w:t>
      </w:r>
    </w:p>
    <w:p>
      <w:pPr>
        <w:pStyle w:val="Heading2"/>
      </w:pPr>
      <w:r>
        <w:rPr>
          <w:spacing w:val="-2"/>
          <w:w w:val="105"/>
        </w:rPr>
        <w:t>Tax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Intern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Harlan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Group,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2014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ind w:left="641"/>
      </w:pPr>
      <w:r>
        <w:rPr>
          <w:w w:val="105"/>
        </w:rPr>
        <w:t>Researched</w:t>
      </w:r>
      <w:r>
        <w:rPr>
          <w:spacing w:val="3"/>
          <w:w w:val="105"/>
        </w:rPr>
        <w:t> </w:t>
      </w:r>
      <w:r>
        <w:rPr>
          <w:w w:val="105"/>
        </w:rPr>
        <w:t>tax</w:t>
      </w:r>
      <w:r>
        <w:rPr>
          <w:spacing w:val="4"/>
          <w:w w:val="105"/>
        </w:rPr>
        <w:t> </w:t>
      </w:r>
      <w:r>
        <w:rPr>
          <w:w w:val="105"/>
        </w:rPr>
        <w:t>code</w:t>
      </w:r>
      <w:r>
        <w:rPr>
          <w:spacing w:val="3"/>
          <w:w w:val="105"/>
        </w:rPr>
        <w:t> </w:t>
      </w:r>
      <w:r>
        <w:rPr>
          <w:w w:val="105"/>
        </w:rPr>
        <w:t>updates</w:t>
      </w:r>
      <w:r>
        <w:rPr>
          <w:spacing w:val="4"/>
          <w:w w:val="105"/>
        </w:rPr>
        <w:t> </w:t>
      </w:r>
      <w:r>
        <w:rPr>
          <w:w w:val="105"/>
        </w:rPr>
        <w:t>and</w:t>
      </w:r>
      <w:r>
        <w:rPr>
          <w:spacing w:val="3"/>
          <w:w w:val="105"/>
        </w:rPr>
        <w:t> </w:t>
      </w:r>
      <w:r>
        <w:rPr>
          <w:w w:val="105"/>
        </w:rPr>
        <w:t>supported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preparers</w:t>
      </w:r>
    </w:p>
    <w:p>
      <w:pPr>
        <w:pStyle w:val="BodyText"/>
        <w:spacing w:before="147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20" w:bottom="280" w:left="400" w:right="380"/>
          <w:cols w:num="2" w:equalWidth="0">
            <w:col w:w="2886" w:space="1038"/>
            <w:col w:w="7216"/>
          </w:cols>
        </w:sectPr>
      </w:pPr>
    </w:p>
    <w:p>
      <w:pPr>
        <w:pStyle w:val="Heading2"/>
        <w:spacing w:before="206"/>
        <w:ind w:left="40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0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6200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5336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533774"/>
                            <a:ext cx="200025" cy="362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629025">
                                <a:moveTo>
                                  <a:pt x="47625" y="3601872"/>
                                </a:moveTo>
                                <a:lnTo>
                                  <a:pt x="27165" y="3581400"/>
                                </a:lnTo>
                                <a:lnTo>
                                  <a:pt x="20472" y="3581400"/>
                                </a:lnTo>
                                <a:lnTo>
                                  <a:pt x="0" y="3601872"/>
                                </a:lnTo>
                                <a:lnTo>
                                  <a:pt x="0" y="3605441"/>
                                </a:lnTo>
                                <a:lnTo>
                                  <a:pt x="0" y="3608565"/>
                                </a:lnTo>
                                <a:lnTo>
                                  <a:pt x="20472" y="3629025"/>
                                </a:lnTo>
                                <a:lnTo>
                                  <a:pt x="27165" y="3629025"/>
                                </a:lnTo>
                                <a:lnTo>
                                  <a:pt x="47625" y="3608565"/>
                                </a:lnTo>
                                <a:lnTo>
                                  <a:pt x="47625" y="3601872"/>
                                </a:lnTo>
                                <a:close/>
                              </a:path>
                              <a:path w="200025" h="3629025">
                                <a:moveTo>
                                  <a:pt x="200025" y="1963572"/>
                                </a:moveTo>
                                <a:lnTo>
                                  <a:pt x="179565" y="1943100"/>
                                </a:lnTo>
                                <a:lnTo>
                                  <a:pt x="172872" y="1943100"/>
                                </a:lnTo>
                                <a:lnTo>
                                  <a:pt x="152400" y="1963572"/>
                                </a:lnTo>
                                <a:lnTo>
                                  <a:pt x="152400" y="1967141"/>
                                </a:lnTo>
                                <a:lnTo>
                                  <a:pt x="152400" y="1970265"/>
                                </a:lnTo>
                                <a:lnTo>
                                  <a:pt x="172872" y="1990725"/>
                                </a:lnTo>
                                <a:lnTo>
                                  <a:pt x="179565" y="1990725"/>
                                </a:lnTo>
                                <a:lnTo>
                                  <a:pt x="200025" y="1970265"/>
                                </a:lnTo>
                                <a:lnTo>
                                  <a:pt x="200025" y="1963572"/>
                                </a:lnTo>
                                <a:close/>
                              </a:path>
                              <a:path w="200025" h="3629025">
                                <a:moveTo>
                                  <a:pt x="200025" y="1353972"/>
                                </a:moveTo>
                                <a:lnTo>
                                  <a:pt x="179565" y="1333500"/>
                                </a:lnTo>
                                <a:lnTo>
                                  <a:pt x="172872" y="1333500"/>
                                </a:lnTo>
                                <a:lnTo>
                                  <a:pt x="152400" y="1353972"/>
                                </a:lnTo>
                                <a:lnTo>
                                  <a:pt x="152400" y="1357541"/>
                                </a:lnTo>
                                <a:lnTo>
                                  <a:pt x="152400" y="1360665"/>
                                </a:lnTo>
                                <a:lnTo>
                                  <a:pt x="172872" y="1381125"/>
                                </a:lnTo>
                                <a:lnTo>
                                  <a:pt x="179565" y="1381125"/>
                                </a:lnTo>
                                <a:lnTo>
                                  <a:pt x="200025" y="1360665"/>
                                </a:lnTo>
                                <a:lnTo>
                                  <a:pt x="200025" y="1353972"/>
                                </a:lnTo>
                                <a:close/>
                              </a:path>
                              <a:path w="200025" h="3629025">
                                <a:moveTo>
                                  <a:pt x="200025" y="1163472"/>
                                </a:moveTo>
                                <a:lnTo>
                                  <a:pt x="179565" y="1143000"/>
                                </a:lnTo>
                                <a:lnTo>
                                  <a:pt x="172872" y="1143000"/>
                                </a:lnTo>
                                <a:lnTo>
                                  <a:pt x="152400" y="1163472"/>
                                </a:lnTo>
                                <a:lnTo>
                                  <a:pt x="152400" y="1167041"/>
                                </a:lnTo>
                                <a:lnTo>
                                  <a:pt x="152400" y="1170165"/>
                                </a:lnTo>
                                <a:lnTo>
                                  <a:pt x="172872" y="1190625"/>
                                </a:lnTo>
                                <a:lnTo>
                                  <a:pt x="179565" y="1190625"/>
                                </a:lnTo>
                                <a:lnTo>
                                  <a:pt x="200025" y="1170165"/>
                                </a:lnTo>
                                <a:lnTo>
                                  <a:pt x="200025" y="1163472"/>
                                </a:lnTo>
                                <a:close/>
                              </a:path>
                              <a:path w="200025" h="3629025">
                                <a:moveTo>
                                  <a:pt x="200025" y="401472"/>
                                </a:moveTo>
                                <a:lnTo>
                                  <a:pt x="179565" y="381000"/>
                                </a:lnTo>
                                <a:lnTo>
                                  <a:pt x="172872" y="381000"/>
                                </a:lnTo>
                                <a:lnTo>
                                  <a:pt x="152400" y="401472"/>
                                </a:lnTo>
                                <a:lnTo>
                                  <a:pt x="152400" y="405041"/>
                                </a:lnTo>
                                <a:lnTo>
                                  <a:pt x="152400" y="408165"/>
                                </a:lnTo>
                                <a:lnTo>
                                  <a:pt x="172872" y="428625"/>
                                </a:lnTo>
                                <a:lnTo>
                                  <a:pt x="179565" y="428625"/>
                                </a:lnTo>
                                <a:lnTo>
                                  <a:pt x="200025" y="408165"/>
                                </a:lnTo>
                                <a:lnTo>
                                  <a:pt x="200025" y="401472"/>
                                </a:lnTo>
                                <a:close/>
                              </a:path>
                              <a:path w="200025" h="3629025">
                                <a:moveTo>
                                  <a:pt x="200025" y="210972"/>
                                </a:moveTo>
                                <a:lnTo>
                                  <a:pt x="179565" y="190500"/>
                                </a:lnTo>
                                <a:lnTo>
                                  <a:pt x="172872" y="190500"/>
                                </a:lnTo>
                                <a:lnTo>
                                  <a:pt x="152400" y="210972"/>
                                </a:lnTo>
                                <a:lnTo>
                                  <a:pt x="152400" y="214541"/>
                                </a:lnTo>
                                <a:lnTo>
                                  <a:pt x="152400" y="217665"/>
                                </a:lnTo>
                                <a:lnTo>
                                  <a:pt x="172872" y="238125"/>
                                </a:lnTo>
                                <a:lnTo>
                                  <a:pt x="179565" y="238125"/>
                                </a:lnTo>
                                <a:lnTo>
                                  <a:pt x="200025" y="217665"/>
                                </a:lnTo>
                                <a:lnTo>
                                  <a:pt x="200025" y="210972"/>
                                </a:lnTo>
                                <a:close/>
                              </a:path>
                              <a:path w="200025" h="362902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0624" id="docshapegroup1" coordorigin="0,0" coordsize="11415,16860">
                <v:shape style="position:absolute;left:0;top:0;width:4095;height:16860" id="docshape2" coordorigin="0,0" coordsize="4095,16860" path="m4095,0l0,0,0,12000,0,16860,4095,16860,4095,12000,4095,0xe" filled="true" fillcolor="#a26e0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990;width:7320;height:45" id="docshape9" filled="true" fillcolor="#a26e00" stroked="false">
                  <v:fill type="solid"/>
                </v:rect>
                <v:shape style="position:absolute;left:4424;top:5565;width:315;height:5715" id="docshape10" coordorigin="4425,5565" coordsize="315,5715" path="m4500,11237l4499,11232,4495,11223,4493,11219,4486,11212,4482,11210,4473,11206,4468,11205,4457,11205,4452,11206,4443,11210,4439,11212,4432,11219,4430,11223,4426,11232,4425,11237,4425,11243,4425,11248,4426,11253,4430,11262,4432,11266,4439,11273,4443,11275,4452,11279,4457,11280,4468,11280,4473,11279,4482,11275,4486,11273,4493,11266,4495,11262,4499,11253,4500,11248,4500,11237xm4740,8657l4739,8652,4735,8643,4733,8639,4726,8632,4722,8630,4713,8626,4708,8625,4697,8625,4692,8626,4683,8630,4679,8632,4672,8639,4670,8643,4666,8652,4665,8657,4665,8663,4665,8668,4666,8673,4670,8682,4672,8686,4679,8693,4683,8695,4692,8699,4697,8700,4708,8700,4713,8699,4722,8695,4726,8693,4733,8686,4735,8682,4739,8673,4740,8668,4740,8657xm4740,7697l4739,7692,4735,7683,4733,7679,4726,7672,4722,7670,4713,7666,4708,7665,4697,7665,4692,7666,4683,7670,4679,7672,4672,7679,4670,7683,4666,7692,4665,7697,4665,7703,4665,7708,4666,7713,4670,7722,4672,7726,4679,7733,4683,7735,4692,7739,4697,7740,4708,7740,4713,7739,4722,7735,4726,7733,4733,7726,4735,7722,4739,7713,4740,7708,4740,7697xm4740,7397l4739,7392,4735,7383,4733,7379,4726,7372,4722,7370,4713,7366,4708,7365,4697,7365,4692,7366,4683,7370,4679,7372,4672,7379,4670,7383,4666,7392,4665,7397,4665,7403,4665,7408,4666,7413,4670,7422,4672,7426,4679,7433,4683,7435,4692,7439,4697,7440,4708,7440,4713,7439,4722,7435,4726,7433,4733,7426,4735,7422,4739,7413,4740,7408,4740,7397xm4740,6197l4739,6192,4735,6183,4733,6179,4726,6172,4722,6170,4713,6166,4708,6165,4697,6165,4692,6166,4683,6170,4679,6172,4672,6179,4670,6183,4666,6192,4665,6197,4665,6203,4665,6208,4666,6213,4670,6222,4672,6226,4679,6233,4683,6235,4692,6239,4697,6240,4708,6240,4713,6239,4722,6235,4726,6233,4733,6226,4735,6222,4739,6213,4740,6208,4740,6197xm4740,5897l4739,5892,4735,5883,4733,5879,4726,5872,4722,5870,4713,5866,4708,5865,4697,5865,4692,5866,4683,5870,4679,5872,4672,5879,4670,5883,4666,5892,4665,5897,4665,5903,4665,5908,4666,5913,4670,5922,4672,5926,4679,5933,4683,5935,4692,5939,4697,5940,4708,5940,4713,5939,4722,5935,4726,5933,4733,5926,4735,5922,4739,5913,4740,5908,4740,5897xm4740,5597l4739,5592,4735,5583,4733,5579,4726,5572,4722,5570,4713,5566,4708,5565,4697,5565,4692,5566,4683,5570,4679,5572,4672,5579,4670,5583,4666,5592,4665,5597,4665,5603,4665,5608,4666,5613,4670,5622,4672,5626,4679,5633,4683,5635,4692,5639,4697,5640,4708,5640,4713,5639,4722,5635,4726,5633,4733,5626,4735,5622,4739,5613,4740,5608,4740,55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Bachelor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Accounting</w:t>
      </w:r>
    </w:p>
    <w:p>
      <w:pPr>
        <w:pStyle w:val="BodyText"/>
        <w:spacing w:before="37"/>
        <w:ind w:left="4026"/>
      </w:pPr>
      <w:r>
        <w:rPr>
          <w:w w:val="105"/>
        </w:rPr>
        <w:t>California</w:t>
      </w:r>
      <w:r>
        <w:rPr>
          <w:spacing w:val="-8"/>
          <w:w w:val="105"/>
        </w:rPr>
        <w:t> </w:t>
      </w:r>
      <w:r>
        <w:rPr>
          <w:w w:val="105"/>
        </w:rPr>
        <w:t>State</w:t>
      </w:r>
      <w:r>
        <w:rPr>
          <w:spacing w:val="-8"/>
          <w:w w:val="105"/>
        </w:rPr>
        <w:t> </w:t>
      </w:r>
      <w:r>
        <w:rPr>
          <w:w w:val="105"/>
        </w:rPr>
        <w:t>University,</w:t>
      </w:r>
      <w:r>
        <w:rPr>
          <w:spacing w:val="-7"/>
          <w:w w:val="105"/>
        </w:rPr>
        <w:t> </w:t>
      </w:r>
      <w:r>
        <w:rPr>
          <w:w w:val="105"/>
        </w:rPr>
        <w:t>Northridge,</w:t>
      </w:r>
      <w:r>
        <w:rPr>
          <w:spacing w:val="-8"/>
          <w:w w:val="105"/>
        </w:rPr>
        <w:t> </w:t>
      </w:r>
      <w:r>
        <w:rPr>
          <w:w w:val="105"/>
        </w:rPr>
        <w:t>Northridge,</w:t>
      </w:r>
      <w:r>
        <w:rPr>
          <w:spacing w:val="-8"/>
          <w:w w:val="105"/>
        </w:rPr>
        <w:t> </w:t>
      </w:r>
      <w:r>
        <w:rPr>
          <w:w w:val="105"/>
        </w:rPr>
        <w:t>CA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December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132"/>
      </w:pPr>
    </w:p>
    <w:p>
      <w:pPr>
        <w:pStyle w:val="Heading1"/>
        <w:ind w:left="4026"/>
      </w:pPr>
      <w:r>
        <w:rPr>
          <w:spacing w:val="-2"/>
        </w:rPr>
        <w:t>CERTIFICATIONS</w:t>
      </w:r>
    </w:p>
    <w:p>
      <w:pPr>
        <w:pStyle w:val="BodyText"/>
        <w:spacing w:before="290"/>
        <w:ind w:left="4324"/>
      </w:pPr>
      <w:r>
        <w:rPr>
          <w:w w:val="105"/>
        </w:rPr>
        <w:t>Certiﬁed</w:t>
      </w:r>
      <w:r>
        <w:rPr>
          <w:spacing w:val="-7"/>
          <w:w w:val="105"/>
        </w:rPr>
        <w:t> </w:t>
      </w:r>
      <w:r>
        <w:rPr>
          <w:w w:val="105"/>
        </w:rPr>
        <w:t>Public</w:t>
      </w:r>
      <w:r>
        <w:rPr>
          <w:spacing w:val="-7"/>
          <w:w w:val="105"/>
        </w:rPr>
        <w:t> </w:t>
      </w:r>
      <w:r>
        <w:rPr>
          <w:w w:val="105"/>
        </w:rPr>
        <w:t>Accountant</w:t>
      </w:r>
      <w:r>
        <w:rPr>
          <w:spacing w:val="-7"/>
          <w:w w:val="105"/>
        </w:rPr>
        <w:t> </w:t>
      </w:r>
      <w:r>
        <w:rPr>
          <w:w w:val="105"/>
        </w:rPr>
        <w:t>(CPA),</w:t>
      </w:r>
      <w:r>
        <w:rPr>
          <w:spacing w:val="-7"/>
          <w:w w:val="105"/>
        </w:rPr>
        <w:t> </w:t>
      </w:r>
      <w:r>
        <w:rPr>
          <w:w w:val="105"/>
        </w:rPr>
        <w:t>California</w:t>
      </w:r>
      <w:r>
        <w:rPr>
          <w:spacing w:val="-7"/>
          <w:w w:val="105"/>
        </w:rPr>
        <w:t> </w:t>
      </w:r>
      <w:r>
        <w:rPr>
          <w:w w:val="105"/>
        </w:rPr>
        <w:t>Board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Accountancy,</w:t>
      </w:r>
      <w:r>
        <w:rPr>
          <w:spacing w:val="-7"/>
          <w:w w:val="105"/>
        </w:rPr>
        <w:t> </w:t>
      </w:r>
      <w:r>
        <w:rPr>
          <w:w w:val="105"/>
        </w:rPr>
        <w:t>June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820" w:bottom="280" w:left="40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2025-11-09T10:41:56Z</dcterms:created>
  <dcterms:modified xsi:type="dcterms:W3CDTF">2025-11-09T10:41:56Z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