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38" w:lineRule="exact" w:before="0"/>
        <w:ind w:left="553" w:right="0" w:firstLine="0"/>
        <w:jc w:val="left"/>
        <w:rPr>
          <w:rFonts w:ascii="Adobe Heiti Std R"/>
          <w:sz w:val="82"/>
        </w:rPr>
      </w:pPr>
      <w:r>
        <w:rPr>
          <w:b/>
          <w:color w:val="FFFFFF"/>
          <w:spacing w:val="11"/>
          <w:sz w:val="82"/>
        </w:rPr>
        <w:t>Darius</w:t>
      </w:r>
      <w:r>
        <w:rPr>
          <w:b/>
          <w:color w:val="FFFFFF"/>
          <w:spacing w:val="-44"/>
          <w:sz w:val="82"/>
        </w:rPr>
        <w:t> </w:t>
      </w:r>
      <w:r>
        <w:rPr>
          <w:rFonts w:ascii="Adobe Heiti Std R"/>
          <w:color w:val="FFFFFF"/>
          <w:spacing w:val="7"/>
          <w:sz w:val="82"/>
        </w:rPr>
        <w:t>Mills</w:t>
      </w:r>
    </w:p>
    <w:p>
      <w:pPr>
        <w:pStyle w:val="Heading1"/>
        <w:spacing w:line="265" w:lineRule="exact"/>
        <w:ind w:left="553"/>
      </w:pPr>
      <w:r>
        <w:rPr>
          <w:color w:val="FFFFFF"/>
        </w:rPr>
        <w:t>Director</w:t>
      </w:r>
      <w:r>
        <w:rPr>
          <w:color w:val="FFFFFF"/>
          <w:spacing w:val="68"/>
        </w:rPr>
        <w:t> </w:t>
      </w:r>
      <w:r>
        <w:rPr>
          <w:color w:val="FFFFFF"/>
        </w:rPr>
        <w:t>of</w:t>
      </w:r>
      <w:r>
        <w:rPr>
          <w:color w:val="FFFFFF"/>
          <w:spacing w:val="69"/>
        </w:rPr>
        <w:t> </w:t>
      </w:r>
      <w:r>
        <w:rPr>
          <w:color w:val="FFFFFF"/>
        </w:rPr>
        <w:t>National</w:t>
      </w:r>
      <w:r>
        <w:rPr>
          <w:color w:val="FFFFFF"/>
          <w:spacing w:val="68"/>
        </w:rPr>
        <w:t> </w:t>
      </w:r>
      <w:r>
        <w:rPr>
          <w:color w:val="FFFFFF"/>
          <w:spacing w:val="-2"/>
        </w:rPr>
        <w:t>Accounts</w:t>
      </w:r>
    </w:p>
    <w:p>
      <w:pPr>
        <w:spacing w:line="273" w:lineRule="auto" w:before="178"/>
        <w:ind w:left="553" w:right="33" w:firstLine="0"/>
        <w:jc w:val="left"/>
        <w:rPr>
          <w:sz w:val="16"/>
        </w:rPr>
      </w:pPr>
      <w:r>
        <w:rPr>
          <w:color w:val="FFFFFF"/>
          <w:w w:val="105"/>
          <w:sz w:val="16"/>
        </w:rPr>
        <w:t>Director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national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accounts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15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multimillion-dollar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B2B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relationships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energy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 industrial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supply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sectors.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retention,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expanding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contract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scope,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aligning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internal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 client success objectives.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820"/>
        </w:sectPr>
      </w:pPr>
    </w:p>
    <w:p>
      <w:pPr>
        <w:pStyle w:val="Heading1"/>
        <w:spacing w:before="105"/>
      </w:pPr>
      <w:r>
        <w:rPr>
          <w:color w:val="0C0C0C"/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ind w:left="907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000-</w:t>
      </w:r>
      <w:r>
        <w:rPr>
          <w:color w:val="424242"/>
          <w:spacing w:val="-4"/>
        </w:rPr>
        <w:t>1234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spacing w:line="138" w:lineRule="exact"/>
        <w:ind w:left="907"/>
      </w:pPr>
      <w:hyperlink r:id="rId5">
        <w:r>
          <w:rPr>
            <w:color w:val="424242"/>
            <w:spacing w:val="-2"/>
            <w:w w:val="105"/>
          </w:rPr>
          <w:t>darius.mills@example.com</w:t>
        </w:r>
      </w:hyperlink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0C0C0C"/>
        </w:rPr>
        <w:t>PROFESSIONAL</w:t>
      </w:r>
      <w:r>
        <w:rPr>
          <w:color w:val="0C0C0C"/>
          <w:spacing w:val="-2"/>
        </w:rPr>
        <w:t> EXPERIENCE</w:t>
      </w:r>
    </w:p>
    <w:p>
      <w:pPr>
        <w:pStyle w:val="BodyText"/>
        <w:spacing w:line="268" w:lineRule="auto" w:before="328"/>
        <w:ind w:left="330"/>
      </w:pPr>
      <w:r>
        <w:rPr>
          <w:w w:val="105"/>
        </w:rPr>
        <w:t>DIRECTOR OF NATIONAL</w:t>
      </w:r>
      <w:r>
        <w:rPr>
          <w:spacing w:val="-13"/>
          <w:w w:val="105"/>
        </w:rPr>
        <w:t> </w:t>
      </w:r>
      <w:r>
        <w:rPr>
          <w:w w:val="105"/>
        </w:rPr>
        <w:t>ACCOUNTS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COREMAX SUPPLY</w:t>
      </w:r>
      <w:r>
        <w:rPr>
          <w:spacing w:val="-1"/>
          <w:w w:val="105"/>
        </w:rPr>
        <w:t> </w:t>
      </w:r>
      <w:r>
        <w:rPr>
          <w:w w:val="105"/>
        </w:rPr>
        <w:t>GROUP</w:t>
      </w:r>
      <w:r>
        <w:rPr>
          <w:spacing w:val="-1"/>
          <w:w w:val="105"/>
        </w:rPr>
        <w:t> </w:t>
      </w:r>
      <w:r>
        <w:rPr>
          <w:w w:val="105"/>
        </w:rPr>
        <w:t>, HOUSTON, TX</w:t>
      </w:r>
    </w:p>
    <w:p>
      <w:pPr>
        <w:pStyle w:val="BodyText"/>
        <w:spacing w:before="8"/>
        <w:ind w:left="330"/>
      </w:pPr>
      <w:r>
        <w:rPr>
          <w:w w:val="105"/>
        </w:rPr>
        <w:t>FEBRUARY</w:t>
      </w:r>
      <w:r>
        <w:rPr>
          <w:spacing w:val="1"/>
          <w:w w:val="105"/>
        </w:rPr>
        <w:t> </w:t>
      </w:r>
      <w:r>
        <w:rPr>
          <w:w w:val="105"/>
        </w:rPr>
        <w:t>2016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320" w:right="820"/>
          <w:cols w:num="2" w:equalWidth="0">
            <w:col w:w="3171" w:space="586"/>
            <w:col w:w="7023"/>
          </w:cols>
        </w:sectPr>
      </w:pPr>
    </w:p>
    <w:p>
      <w:pPr>
        <w:pStyle w:val="BodyText"/>
      </w:pPr>
    </w:p>
    <w:p>
      <w:pPr>
        <w:pStyle w:val="BodyText"/>
        <w:spacing w:before="199"/>
      </w:pPr>
    </w:p>
    <w:p>
      <w:pPr>
        <w:pStyle w:val="BodyText"/>
        <w:ind w:left="907"/>
      </w:pPr>
      <w:r>
        <w:rPr>
          <w:color w:val="424242"/>
        </w:rPr>
        <w:t>Houston,</w:t>
      </w:r>
      <w:r>
        <w:rPr>
          <w:color w:val="424242"/>
          <w:spacing w:val="7"/>
        </w:rPr>
        <w:t> </w:t>
      </w:r>
      <w:r>
        <w:rPr>
          <w:color w:val="424242"/>
        </w:rPr>
        <w:t>TX</w:t>
      </w:r>
      <w:r>
        <w:rPr>
          <w:color w:val="424242"/>
          <w:spacing w:val="12"/>
        </w:rPr>
        <w:t> </w:t>
      </w:r>
      <w:r>
        <w:rPr>
          <w:color w:val="424242"/>
          <w:spacing w:val="-2"/>
        </w:rPr>
        <w:t>77002</w:t>
      </w:r>
    </w:p>
    <w:p>
      <w:pPr>
        <w:pStyle w:val="BodyText"/>
      </w:pPr>
    </w:p>
    <w:p>
      <w:pPr>
        <w:pStyle w:val="BodyText"/>
        <w:spacing w:before="40"/>
      </w:pPr>
    </w:p>
    <w:p>
      <w:pPr>
        <w:pStyle w:val="Heading1"/>
        <w:spacing w:before="1"/>
      </w:pPr>
      <w:r>
        <w:rPr>
          <w:color w:val="0C0C0C"/>
        </w:rPr>
        <w:t>KEY</w:t>
      </w:r>
      <w:r>
        <w:rPr>
          <w:color w:val="0C0C0C"/>
          <w:spacing w:val="-8"/>
        </w:rPr>
        <w:t> </w:t>
      </w:r>
      <w:r>
        <w:rPr>
          <w:color w:val="0C0C0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  <w:tab w:pos="405" w:val="left" w:leader="none"/>
        </w:tabs>
        <w:spacing w:line="189" w:lineRule="auto" w:before="51" w:after="0"/>
        <w:ind w:left="405" w:right="30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top 15 national accounts totaling $70M in annual revenue, increasing average contract length from 2 to 4 years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</w:tabs>
        <w:spacing w:line="334" w:lineRule="exact" w:before="60" w:after="0"/>
        <w:ind w:left="403" w:right="0" w:hanging="296"/>
        <w:jc w:val="left"/>
        <w:rPr>
          <w:sz w:val="18"/>
        </w:rPr>
      </w:pPr>
      <w:r>
        <w:rPr>
          <w:w w:val="105"/>
          <w:sz w:val="18"/>
        </w:rPr>
        <w:t>Negotiated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complex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pricing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margins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secure</w:t>
      </w:r>
    </w:p>
    <w:p>
      <w:pPr>
        <w:pStyle w:val="BodyText"/>
        <w:spacing w:line="185" w:lineRule="exact"/>
        <w:ind w:left="405"/>
      </w:pPr>
      <w:r>
        <w:rPr>
          <w:w w:val="105"/>
        </w:rPr>
        <w:t>$22M</w:t>
      </w:r>
      <w:r>
        <w:rPr>
          <w:spacing w:val="17"/>
          <w:w w:val="105"/>
        </w:rPr>
        <w:t> </w:t>
      </w:r>
      <w:r>
        <w:rPr>
          <w:w w:val="105"/>
        </w:rPr>
        <w:t>in</w:t>
      </w:r>
      <w:r>
        <w:rPr>
          <w:spacing w:val="17"/>
          <w:w w:val="105"/>
        </w:rPr>
        <w:t> </w:t>
      </w:r>
      <w:r>
        <w:rPr>
          <w:w w:val="105"/>
        </w:rPr>
        <w:t>contract</w:t>
      </w:r>
      <w:r>
        <w:rPr>
          <w:spacing w:val="18"/>
          <w:w w:val="105"/>
        </w:rPr>
        <w:t> </w:t>
      </w:r>
      <w:r>
        <w:rPr>
          <w:w w:val="105"/>
        </w:rPr>
        <w:t>renewals</w:t>
      </w:r>
      <w:r>
        <w:rPr>
          <w:spacing w:val="17"/>
          <w:w w:val="105"/>
        </w:rPr>
        <w:t> </w:t>
      </w:r>
      <w:r>
        <w:rPr>
          <w:w w:val="105"/>
        </w:rPr>
        <w:t>across</w:t>
      </w:r>
      <w:r>
        <w:rPr>
          <w:spacing w:val="17"/>
          <w:w w:val="105"/>
        </w:rPr>
        <w:t> </w:t>
      </w:r>
      <w:r>
        <w:rPr>
          <w:w w:val="105"/>
        </w:rPr>
        <w:t>strategic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clients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  <w:tab w:pos="405" w:val="left" w:leader="none"/>
        </w:tabs>
        <w:spacing w:line="201" w:lineRule="auto" w:before="74" w:after="0"/>
        <w:ind w:left="405" w:right="469" w:hanging="298"/>
        <w:jc w:val="left"/>
        <w:rPr>
          <w:sz w:val="18"/>
        </w:rPr>
      </w:pPr>
      <w:r>
        <w:rPr>
          <w:w w:val="105"/>
          <w:sz w:val="18"/>
        </w:rPr>
        <w:t>Led customer alignment initiatives involving logistics, service, and billing teams, improving account satisfaction scores by 19%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820"/>
          <w:cols w:num="2" w:equalWidth="0">
            <w:col w:w="2546" w:space="1657"/>
            <w:col w:w="6577"/>
          </w:cols>
        </w:sectPr>
      </w:pP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36" w:lineRule="exact" w:before="148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Account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Cross-functional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Custom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contract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negotiation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241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National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portfolio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35"/>
      </w:pPr>
    </w:p>
    <w:p>
      <w:pPr>
        <w:pStyle w:val="BodyText"/>
        <w:spacing w:line="268" w:lineRule="auto"/>
        <w:ind w:left="219" w:right="389"/>
      </w:pPr>
      <w:r>
        <w:rPr>
          <w:w w:val="105"/>
        </w:rPr>
        <w:t>SENIOR</w:t>
      </w:r>
      <w:r>
        <w:rPr>
          <w:spacing w:val="-5"/>
          <w:w w:val="105"/>
        </w:rPr>
        <w:t> </w:t>
      </w:r>
      <w:r>
        <w:rPr>
          <w:w w:val="105"/>
        </w:rPr>
        <w:t>ACCOUNT EXECUTIVE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TITANFLOW ENERGY SOLUTIONS , DALLAS, TX</w:t>
      </w:r>
    </w:p>
    <w:p>
      <w:pPr>
        <w:pStyle w:val="BodyText"/>
        <w:spacing w:line="200" w:lineRule="exact"/>
        <w:ind w:left="219"/>
      </w:pPr>
      <w:r>
        <w:rPr>
          <w:w w:val="105"/>
        </w:rPr>
        <w:t>JULY</w:t>
      </w:r>
      <w:r>
        <w:rPr>
          <w:spacing w:val="-2"/>
          <w:w w:val="105"/>
        </w:rPr>
        <w:t> </w:t>
      </w:r>
      <w:r>
        <w:rPr>
          <w:w w:val="105"/>
        </w:rPr>
        <w:t>2010</w:t>
      </w:r>
      <w:r>
        <w:rPr>
          <w:spacing w:val="1"/>
          <w:w w:val="105"/>
        </w:rPr>
        <w:t> </w:t>
      </w:r>
      <w:r>
        <w:rPr>
          <w:w w:val="105"/>
        </w:rPr>
        <w:t>–</w:t>
      </w:r>
      <w:r>
        <w:rPr>
          <w:spacing w:val="1"/>
          <w:w w:val="105"/>
        </w:rPr>
        <w:t> </w:t>
      </w:r>
      <w:r>
        <w:rPr>
          <w:w w:val="105"/>
        </w:rPr>
        <w:t>JANUARY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2016</w:t>
      </w:r>
    </w:p>
    <w:p>
      <w:pPr>
        <w:spacing w:after="0" w:line="200" w:lineRule="exact"/>
        <w:sectPr>
          <w:type w:val="continuous"/>
          <w:pgSz w:w="11920" w:h="16860"/>
          <w:pgMar w:top="580" w:bottom="280" w:left="320" w:right="820"/>
          <w:cols w:num="2" w:equalWidth="0">
            <w:col w:w="3210" w:space="659"/>
            <w:col w:w="6911"/>
          </w:cols>
        </w:sectPr>
      </w:pP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36" w:lineRule="exact" w:before="76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Pricing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margin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spacing w:val="2"/>
          <w:sz w:val="18"/>
        </w:rPr>
        <w:t>Relationship</w:t>
      </w:r>
      <w:r>
        <w:rPr>
          <w:spacing w:val="47"/>
          <w:sz w:val="18"/>
        </w:rPr>
        <w:t> </w:t>
      </w:r>
      <w:r>
        <w:rPr>
          <w:spacing w:val="-2"/>
          <w:sz w:val="18"/>
        </w:rPr>
        <w:t>expansion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sz w:val="18"/>
        </w:rPr>
        <w:t>Revenue</w:t>
      </w:r>
      <w:r>
        <w:rPr>
          <w:spacing w:val="38"/>
          <w:sz w:val="18"/>
        </w:rPr>
        <w:t> </w:t>
      </w:r>
      <w:r>
        <w:rPr>
          <w:spacing w:val="-2"/>
          <w:sz w:val="18"/>
        </w:rPr>
        <w:t>stabilization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Strategic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reviews</w:t>
      </w:r>
    </w:p>
    <w:p>
      <w:pPr>
        <w:pStyle w:val="ListParagraph"/>
        <w:numPr>
          <w:ilvl w:val="1"/>
          <w:numId w:val="1"/>
        </w:numPr>
        <w:tabs>
          <w:tab w:pos="514" w:val="left" w:leader="none"/>
          <w:tab w:pos="516" w:val="left" w:leader="none"/>
        </w:tabs>
        <w:spacing w:line="189" w:lineRule="auto" w:before="52" w:after="0"/>
        <w:ind w:left="516" w:right="74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 national utility clients with tailored supply programs, increasing upsell revenue by 26%</w:t>
      </w:r>
    </w:p>
    <w:p>
      <w:pPr>
        <w:pStyle w:val="ListParagraph"/>
        <w:numPr>
          <w:ilvl w:val="1"/>
          <w:numId w:val="1"/>
        </w:numPr>
        <w:tabs>
          <w:tab w:pos="514" w:val="left" w:leader="none"/>
          <w:tab w:pos="516" w:val="left" w:leader="none"/>
        </w:tabs>
        <w:spacing w:line="189" w:lineRule="auto" w:before="109" w:after="0"/>
        <w:ind w:left="516" w:right="372" w:hanging="298"/>
        <w:jc w:val="left"/>
        <w:rPr>
          <w:sz w:val="18"/>
        </w:rPr>
      </w:pPr>
      <w:r>
        <w:rPr>
          <w:w w:val="105"/>
          <w:sz w:val="18"/>
        </w:rPr>
        <w:t>Conducted in-depth business reviews and site visits to identify new revenue streams and operational efficiencies</w:t>
      </w:r>
    </w:p>
    <w:p>
      <w:pPr>
        <w:pStyle w:val="ListParagraph"/>
        <w:numPr>
          <w:ilvl w:val="1"/>
          <w:numId w:val="1"/>
        </w:numPr>
        <w:tabs>
          <w:tab w:pos="514" w:val="left" w:leader="none"/>
          <w:tab w:pos="516" w:val="left" w:leader="none"/>
        </w:tabs>
        <w:spacing w:line="201" w:lineRule="auto" w:before="98" w:after="0"/>
        <w:ind w:left="516" w:right="114" w:hanging="298"/>
        <w:jc w:val="left"/>
        <w:rPr>
          <w:sz w:val="18"/>
        </w:rPr>
      </w:pPr>
      <w:r>
        <w:rPr>
          <w:w w:val="105"/>
          <w:sz w:val="18"/>
        </w:rPr>
        <w:t>Coordinated with product teams to build custom SKUs, which became standard for three major clients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820"/>
          <w:cols w:num="2" w:equalWidth="0">
            <w:col w:w="2847" w:space="1245"/>
            <w:col w:w="6688"/>
          </w:cols>
        </w:sectPr>
      </w:pPr>
    </w:p>
    <w:p>
      <w:pPr>
        <w:pStyle w:val="Heading1"/>
        <w:spacing w:before="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972424"/>
                            <a:ext cx="2476500" cy="273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733675">
                                <a:moveTo>
                                  <a:pt x="0" y="2733674"/>
                                </a:moveTo>
                                <a:lnTo>
                                  <a:pt x="2476499" y="27336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33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972424"/>
                            <a:ext cx="9525" cy="273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733675">
                                <a:moveTo>
                                  <a:pt x="0" y="2733674"/>
                                </a:moveTo>
                                <a:lnTo>
                                  <a:pt x="9524" y="27336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33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76475">
                                <a:moveTo>
                                  <a:pt x="7568183" y="2276474"/>
                                </a:moveTo>
                                <a:lnTo>
                                  <a:pt x="0" y="2276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7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76474"/>
                            <a:ext cx="9525" cy="569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95950">
                                <a:moveTo>
                                  <a:pt x="9524" y="5695949"/>
                                </a:moveTo>
                                <a:lnTo>
                                  <a:pt x="0" y="56959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695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76474"/>
                            <a:ext cx="2466975" cy="569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695950">
                                <a:moveTo>
                                  <a:pt x="2466974" y="5695949"/>
                                </a:moveTo>
                                <a:lnTo>
                                  <a:pt x="0" y="56959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695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0C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95274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0C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42899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0C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8957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1" coordorigin="0,0" coordsize="11919,16860">
                <v:rect style="position:absolute;left:0;top:12555;width:3900;height:4305" id="docshape2" filled="true" fillcolor="#a26e00" stroked="false">
                  <v:fill opacity="32899f" type="solid"/>
                </v:rect>
                <v:rect style="position:absolute;left:3885;top:12555;width:15;height:4305" id="docshape3" filled="true" fillcolor="#000000" stroked="false">
                  <v:fill type="solid"/>
                </v:rect>
                <v:rect style="position:absolute;left:0;top:0;width:11919;height:3585" id="docshape4" filled="true" fillcolor="#a26e00" stroked="false">
                  <v:fill type="solid"/>
                </v:rect>
                <v:rect style="position:absolute;left:3885;top:3585;width:15;height:8970" id="docshape5" filled="true" fillcolor="#000000" stroked="false">
                  <v:fill type="solid"/>
                </v:rect>
                <v:rect style="position:absolute;left:0;top:3585;width:3885;height:8970" id="docshape6" filled="true" fillcolor="#a26e00" stroked="false">
                  <v:fill opacity="32899f" type="solid"/>
                </v:rect>
                <v:shape style="position:absolute;left:562;top:4537;width:495;height:495" id="docshape7" coordorigin="562,4537" coordsize="495,495" path="m810,5032l750,5025,693,5003,644,4968,604,4923,577,4869,564,4810,562,4785,563,4773,573,4713,598,4658,635,4610,683,4573,738,4548,798,4538,810,4537,822,4538,882,4548,937,4573,985,4610,1022,4658,1047,4713,1057,4773,1057,4785,1057,4797,1047,4857,1022,4912,985,4960,937,4997,882,5022,822,5032,810,5032xe" filled="true" fillcolor="#a26e00" stroked="false">
                  <v:path arrowok="t"/>
                  <v:fill type="solid"/>
                </v:shape>
                <v:shape style="position:absolute;left:562;top:4537;width:495;height:495" id="docshape8" coordorigin="562,4537" coordsize="495,495" path="m562,4785l562,4785,563,4773,573,4713,598,4658,635,4610,683,4573,738,4548,798,4538,810,4537,810,4537,870,4545,927,4567,976,4602,1016,4647,1043,4701,1056,4760,1057,4785,1057,4785,1050,4845,1028,4902,993,4951,948,4991,894,5018,835,5031,810,5032,810,5032,750,5025,693,5003,644,4968,604,4923,577,4869,564,4810,562,4785xe" filled="false" stroked="true" strokeweight="2.25pt" strokecolor="#0c0c0c">
                  <v:path arrowok="t"/>
                  <v:stroke dashstyle="solid"/>
                </v:shape>
                <v:shape style="position:absolute;left:675;top:4650;width:261;height:255" type="#_x0000_t75" id="docshape9" stroked="false">
                  <v:imagedata r:id="rId6" o:title=""/>
                </v:shape>
                <v:shape style="position:absolute;left:562;top:5272;width:495;height:495" id="docshape10" coordorigin="562,5272" coordsize="495,495" path="m810,5767l750,5760,693,5738,644,5703,604,5658,577,5604,564,5545,562,5520,563,5508,573,5448,598,5393,635,5345,683,5308,738,5283,798,5273,810,5272,822,5273,882,5283,937,5308,985,5345,1022,5393,1047,5448,1057,5508,1057,5520,1057,5532,1047,5592,1022,5647,985,5695,937,5732,882,5757,822,5767,810,5767xe" filled="true" fillcolor="#a26e00" stroked="false">
                  <v:path arrowok="t"/>
                  <v:fill type="solid"/>
                </v:shape>
                <v:shape style="position:absolute;left:562;top:5272;width:495;height:495" id="docshape11" coordorigin="562,5272" coordsize="495,495" path="m562,5520l562,5520,563,5508,573,5448,598,5393,635,5345,683,5308,738,5283,798,5273,810,5272,810,5272,870,5280,927,5302,976,5337,1016,5382,1043,5436,1056,5495,1057,5520,1057,5520,1050,5580,1028,5637,993,5686,948,5726,894,5753,835,5766,810,5767,810,5767,750,5760,693,5738,644,5703,604,5658,577,5604,564,5545,562,5520xe" filled="false" stroked="true" strokeweight="2.25pt" strokecolor="#0c0c0c">
                  <v:path arrowok="t"/>
                  <v:stroke dashstyle="solid"/>
                </v:shape>
                <v:shape style="position:absolute;left:692;top:5400;width:226;height:255" type="#_x0000_t75" id="docshape12" stroked="false">
                  <v:imagedata r:id="rId7" o:title=""/>
                </v:shape>
                <v:shape style="position:absolute;left:562;top:6022;width:495;height:495" id="docshape13" coordorigin="562,6022" coordsize="495,495" path="m810,6517l750,6510,693,6488,644,6453,604,6408,577,6354,564,6295,562,6270,563,6258,573,6198,598,6143,635,6095,683,6058,738,6033,798,6023,810,6022,822,6023,882,6033,937,6058,985,6095,1022,6143,1047,6198,1057,6258,1057,6270,1057,6282,1047,6342,1022,6397,985,6445,937,6482,882,6507,822,6517,810,6517xe" filled="true" fillcolor="#a26e00" stroked="false">
                  <v:path arrowok="t"/>
                  <v:fill type="solid"/>
                </v:shape>
                <v:shape style="position:absolute;left:562;top:6022;width:495;height:495" id="docshape14" coordorigin="562,6022" coordsize="495,495" path="m562,6270l562,6270,563,6258,573,6198,598,6143,635,6095,683,6058,738,6033,798,6023,810,6022,810,6022,870,6030,927,6052,976,6087,1016,6132,1043,6186,1056,6245,1057,6270,1057,6270,1050,6330,1028,6387,993,6436,948,6476,894,6503,835,6516,810,6517,810,6517,750,6510,693,6488,644,6453,604,6408,577,6354,564,6295,562,6270xe" filled="false" stroked="true" strokeweight="2.25pt" strokecolor="#0c0c0c">
                  <v:path arrowok="t"/>
                  <v:stroke dashstyle="solid"/>
                </v:shape>
                <v:shape style="position:absolute;left:675;top:6135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0C0C0C"/>
          <w:spacing w:val="-2"/>
        </w:rPr>
        <w:t>EDUCATION</w:t>
      </w:r>
    </w:p>
    <w:p>
      <w:pPr>
        <w:pStyle w:val="BodyText"/>
        <w:spacing w:line="273" w:lineRule="auto" w:before="220"/>
        <w:ind w:left="219"/>
      </w:pPr>
      <w:r>
        <w:rPr>
          <w:w w:val="105"/>
        </w:rPr>
        <w:t>Bachelor of Science (B.S.) in Business Administration University of Houston , Houston, TX, May 2010</w:t>
      </w:r>
    </w:p>
    <w:p>
      <w:pPr>
        <w:spacing w:line="240" w:lineRule="auto" w:before="54"/>
        <w:rPr>
          <w:sz w:val="29"/>
        </w:rPr>
      </w:pPr>
      <w:r>
        <w:rPr/>
        <w:br w:type="column"/>
      </w:r>
      <w:r>
        <w:rPr>
          <w:sz w:val="29"/>
        </w:rPr>
      </w:r>
    </w:p>
    <w:p>
      <w:pPr>
        <w:pStyle w:val="Heading1"/>
      </w:pPr>
      <w:r>
        <w:rPr>
          <w:color w:val="0C0C0C"/>
          <w:spacing w:val="-2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626" w:val="left" w:leader="none"/>
        </w:tabs>
        <w:spacing w:line="240" w:lineRule="auto" w:before="237" w:after="0"/>
        <w:ind w:left="626" w:right="0" w:hanging="296"/>
        <w:jc w:val="left"/>
        <w:rPr>
          <w:sz w:val="18"/>
        </w:rPr>
      </w:pPr>
      <w:r>
        <w:rPr>
          <w:w w:val="105"/>
          <w:sz w:val="18"/>
        </w:rPr>
        <w:t>National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Account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Certificate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AMA,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sectPr>
      <w:type w:val="continuous"/>
      <w:pgSz w:w="11920" w:h="16860"/>
      <w:pgMar w:top="580" w:bottom="280" w:left="320" w:right="820"/>
      <w:cols w:num="2" w:equalWidth="0">
        <w:col w:w="3040" w:space="717"/>
        <w:col w:w="70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9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rius.mills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2025-12-05T16:57:52Z</dcterms:created>
  <dcterms:modified xsi:type="dcterms:W3CDTF">2025-12-05T16:57:52Z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