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141"/>
        </w:sectPr>
      </w:pPr>
    </w:p>
    <w:p>
      <w:pPr>
        <w:pStyle w:val="BodyText"/>
        <w:spacing w:before="26"/>
        <w:rPr>
          <w:rFonts w:ascii="Times New Roman"/>
          <w:sz w:val="59"/>
        </w:rPr>
      </w:pPr>
    </w:p>
    <w:p>
      <w:pPr>
        <w:pStyle w:val="Heading2"/>
      </w:pPr>
      <w:r>
        <w:rPr>
          <w:color w:val="FFFFFF"/>
          <w:spacing w:val="-5"/>
        </w:rPr>
        <w:t>DW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4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spacing w:before="140"/>
        <w:rPr>
          <w:sz w:val="18"/>
        </w:rPr>
      </w:pPr>
    </w:p>
    <w:p>
      <w:pPr>
        <w:pStyle w:val="Heading4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789-</w:t>
      </w:r>
      <w:r>
        <w:rPr>
          <w:color w:val="FFFFFF"/>
          <w:spacing w:val="-4"/>
          <w:sz w:val="18"/>
        </w:rPr>
        <w:t>0123</w:t>
      </w:r>
    </w:p>
    <w:p>
      <w:pPr>
        <w:pStyle w:val="BodyText"/>
        <w:spacing w:before="140"/>
        <w:rPr>
          <w:sz w:val="18"/>
        </w:rPr>
      </w:pPr>
    </w:p>
    <w:p>
      <w:pPr>
        <w:pStyle w:val="Heading4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4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04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Linkedin</w:t>
      </w:r>
      <w:r>
        <w:rPr>
          <w:color w:val="FFFFFF"/>
          <w:spacing w:val="11"/>
          <w:sz w:val="18"/>
        </w:rPr>
        <w:t> </w:t>
      </w:r>
      <w:r>
        <w:rPr>
          <w:color w:val="FFFFFF"/>
          <w:position w:val="-2"/>
          <w:sz w:val="28"/>
        </w:rPr>
        <w:t>|</w:t>
      </w:r>
      <w:r>
        <w:rPr>
          <w:color w:val="FFFFFF"/>
          <w:spacing w:val="-16"/>
          <w:position w:val="-2"/>
          <w:sz w:val="28"/>
        </w:rPr>
        <w:t> </w:t>
      </w:r>
      <w:r>
        <w:rPr>
          <w:color w:val="FFFFFF"/>
          <w:spacing w:val="-2"/>
          <w:sz w:val="18"/>
        </w:rPr>
        <w:t>Portfolio</w:t>
      </w:r>
    </w:p>
    <w:p>
      <w:pPr>
        <w:pStyle w:val="BodyText"/>
        <w:spacing w:before="163"/>
        <w:rPr>
          <w:sz w:val="18"/>
        </w:rPr>
      </w:pPr>
    </w:p>
    <w:p>
      <w:pPr>
        <w:pStyle w:val="Heading3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278" w:lineRule="auto" w:before="155"/>
        <w:ind w:left="702" w:right="9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Clinical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trial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design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sample size calculations</w:t>
      </w:r>
    </w:p>
    <w:p>
      <w:pPr>
        <w:spacing w:line="278" w:lineRule="auto" w:before="75"/>
        <w:ind w:left="70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Survival analysis (Cox </w:t>
      </w:r>
      <w:r>
        <w:rPr>
          <w:color w:val="FFFFFF"/>
          <w:sz w:val="18"/>
        </w:rPr>
        <w:t>regression,</w:t>
      </w:r>
      <w:r>
        <w:rPr>
          <w:color w:val="FFFFFF"/>
          <w:spacing w:val="29"/>
          <w:sz w:val="18"/>
        </w:rPr>
        <w:t> </w:t>
      </w:r>
      <w:r>
        <w:rPr>
          <w:color w:val="FFFFFF"/>
          <w:sz w:val="18"/>
        </w:rPr>
        <w:t>Kaplan-</w:t>
      </w:r>
      <w:r>
        <w:rPr>
          <w:color w:val="FFFFFF"/>
          <w:spacing w:val="-2"/>
          <w:sz w:val="18"/>
        </w:rPr>
        <w:t>Meier)</w:t>
      </w:r>
    </w:p>
    <w:p>
      <w:pPr>
        <w:spacing w:line="261" w:lineRule="auto" w:before="90"/>
        <w:ind w:left="702" w:right="9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Longitudinal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data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 </w:t>
      </w:r>
      <w:r>
        <w:rPr>
          <w:color w:val="FFFFFF"/>
          <w:w w:val="105"/>
          <w:sz w:val="18"/>
        </w:rPr>
        <w:t>(mixed effects, GEE)</w:t>
      </w:r>
    </w:p>
    <w:p>
      <w:pPr>
        <w:spacing w:line="278" w:lineRule="auto" w:before="104"/>
        <w:ind w:left="702" w:right="53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Genomic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data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(GWAS, RNA-seq)</w:t>
      </w:r>
    </w:p>
    <w:p>
      <w:pPr>
        <w:spacing w:line="278" w:lineRule="auto" w:before="74"/>
        <w:ind w:left="702" w:right="9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Statistical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programming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(R, </w:t>
      </w:r>
      <w:r>
        <w:rPr>
          <w:color w:val="FFFFFF"/>
          <w:w w:val="105"/>
          <w:sz w:val="18"/>
        </w:rPr>
        <w:t>SAS, Python, SQL)</w:t>
      </w:r>
    </w:p>
    <w:p>
      <w:pPr>
        <w:pStyle w:val="BodyText"/>
        <w:spacing w:before="61"/>
        <w:rPr>
          <w:sz w:val="18"/>
        </w:rPr>
      </w:pPr>
    </w:p>
    <w:p>
      <w:pPr>
        <w:pStyle w:val="Heading3"/>
      </w:pPr>
      <w:r>
        <w:rPr>
          <w:color w:val="FFFFFF"/>
          <w:spacing w:val="-2"/>
        </w:rPr>
        <w:t>Education</w:t>
      </w:r>
    </w:p>
    <w:p>
      <w:pPr>
        <w:spacing w:line="261" w:lineRule="auto" w:before="156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Public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Health,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 </w:t>
      </w:r>
      <w:r>
        <w:rPr>
          <w:color w:val="FFFFFF"/>
          <w:w w:val="105"/>
          <w:sz w:val="18"/>
        </w:rPr>
        <w:t>May 2016</w:t>
      </w:r>
    </w:p>
    <w:p>
      <w:pPr>
        <w:spacing w:before="14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Ph.D.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Biostatistics</w:t>
      </w:r>
    </w:p>
    <w:p>
      <w:pPr>
        <w:pStyle w:val="BodyText"/>
        <w:rPr>
          <w:sz w:val="18"/>
        </w:rPr>
      </w:pPr>
    </w:p>
    <w:p>
      <w:pPr>
        <w:pStyle w:val="BodyText"/>
        <w:spacing w:before="128"/>
        <w:rPr>
          <w:sz w:val="18"/>
        </w:rPr>
      </w:pPr>
    </w:p>
    <w:p>
      <w:pPr>
        <w:spacing w:line="261" w:lineRule="auto" w:before="1"/>
        <w:ind w:left="404" w:right="714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State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 </w:t>
      </w:r>
      <w:r>
        <w:rPr>
          <w:color w:val="FFFFFF"/>
          <w:w w:val="105"/>
          <w:sz w:val="18"/>
        </w:rPr>
        <w:t>May 2011</w:t>
      </w:r>
    </w:p>
    <w:p>
      <w:pPr>
        <w:spacing w:line="261" w:lineRule="auto" w:before="13"/>
        <w:ind w:left="404" w:right="714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Master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(M.S.)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 </w:t>
      </w:r>
      <w:r>
        <w:rPr>
          <w:color w:val="FFFFFF"/>
          <w:spacing w:val="-2"/>
          <w:w w:val="105"/>
          <w:sz w:val="18"/>
        </w:rPr>
        <w:t>Statistics</w:t>
      </w:r>
    </w:p>
    <w:p>
      <w:pPr>
        <w:pStyle w:val="Heading1"/>
      </w:pPr>
      <w:r>
        <w:rPr>
          <w:b w:val="0"/>
        </w:rPr>
        <w:br w:type="column"/>
      </w:r>
      <w:r>
        <w:rPr>
          <w:color w:val="0C0C0C"/>
          <w:spacing w:val="-16"/>
        </w:rPr>
        <w:t>Dr.</w:t>
      </w:r>
      <w:r>
        <w:rPr>
          <w:color w:val="0C0C0C"/>
          <w:spacing w:val="-33"/>
        </w:rPr>
        <w:t> </w:t>
      </w:r>
      <w:r>
        <w:rPr>
          <w:color w:val="0C0C0C"/>
          <w:spacing w:val="-16"/>
        </w:rPr>
        <w:t>Lisa</w:t>
      </w:r>
      <w:r>
        <w:rPr>
          <w:color w:val="0C0C0C"/>
          <w:spacing w:val="-32"/>
        </w:rPr>
        <w:t> </w:t>
      </w:r>
      <w:r>
        <w:rPr>
          <w:color w:val="0C0C0C"/>
          <w:spacing w:val="-16"/>
        </w:rPr>
        <w:t>Wong</w:t>
      </w:r>
    </w:p>
    <w:p>
      <w:pPr>
        <w:spacing w:before="204"/>
        <w:ind w:left="0" w:right="229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pacing w:val="-2"/>
          <w:w w:val="110"/>
          <w:sz w:val="26"/>
        </w:rPr>
        <w:t>Biostatistician</w:t>
      </w:r>
    </w:p>
    <w:p>
      <w:pPr>
        <w:pStyle w:val="Heading4"/>
        <w:spacing w:before="196"/>
        <w:ind w:left="0" w:right="229"/>
        <w:jc w:val="center"/>
      </w:pPr>
      <w:r>
        <w:rPr>
          <w:color w:val="0C0C0C"/>
        </w:rPr>
        <w:t>Biostatistician</w:t>
      </w:r>
      <w:r>
        <w:rPr>
          <w:color w:val="0C0C0C"/>
          <w:spacing w:val="15"/>
        </w:rPr>
        <w:t> </w:t>
      </w:r>
      <w:r>
        <w:rPr>
          <w:color w:val="0C0C0C"/>
        </w:rPr>
        <w:t>specializing</w:t>
      </w:r>
      <w:r>
        <w:rPr>
          <w:color w:val="0C0C0C"/>
          <w:spacing w:val="15"/>
        </w:rPr>
        <w:t> </w:t>
      </w:r>
      <w:r>
        <w:rPr>
          <w:color w:val="0C0C0C"/>
        </w:rPr>
        <w:t>in</w:t>
      </w:r>
      <w:r>
        <w:rPr>
          <w:color w:val="0C0C0C"/>
          <w:spacing w:val="16"/>
        </w:rPr>
        <w:t> </w:t>
      </w:r>
      <w:r>
        <w:rPr>
          <w:color w:val="0C0C0C"/>
        </w:rPr>
        <w:t>clinical</w:t>
      </w:r>
      <w:r>
        <w:rPr>
          <w:color w:val="0C0C0C"/>
          <w:spacing w:val="15"/>
        </w:rPr>
        <w:t> </w:t>
      </w:r>
      <w:r>
        <w:rPr>
          <w:color w:val="0C0C0C"/>
          <w:spacing w:val="-2"/>
        </w:rPr>
        <w:t>trials</w:t>
      </w:r>
    </w:p>
    <w:p>
      <w:pPr>
        <w:spacing w:before="18"/>
        <w:ind w:left="0" w:right="229" w:firstLine="0"/>
        <w:jc w:val="center"/>
        <w:rPr>
          <w:sz w:val="18"/>
        </w:rPr>
      </w:pPr>
      <w:r>
        <w:rPr>
          <w:color w:val="0C0C0C"/>
          <w:sz w:val="18"/>
        </w:rPr>
        <w:t>Biostatistician</w:t>
      </w:r>
      <w:r>
        <w:rPr>
          <w:color w:val="0C0C0C"/>
          <w:spacing w:val="11"/>
          <w:sz w:val="18"/>
        </w:rPr>
        <w:t> </w:t>
      </w:r>
      <w:r>
        <w:rPr>
          <w:color w:val="0C0C0C"/>
          <w:sz w:val="18"/>
        </w:rPr>
        <w:t>with</w:t>
      </w:r>
      <w:r>
        <w:rPr>
          <w:color w:val="0C0C0C"/>
          <w:spacing w:val="12"/>
          <w:sz w:val="18"/>
        </w:rPr>
        <w:t> </w:t>
      </w:r>
      <w:r>
        <w:rPr>
          <w:color w:val="0C0C0C"/>
          <w:sz w:val="18"/>
        </w:rPr>
        <w:t>8</w:t>
      </w:r>
      <w:r>
        <w:rPr>
          <w:color w:val="0C0C0C"/>
          <w:spacing w:val="12"/>
          <w:sz w:val="18"/>
        </w:rPr>
        <w:t> </w:t>
      </w:r>
      <w:r>
        <w:rPr>
          <w:color w:val="0C0C0C"/>
          <w:sz w:val="18"/>
        </w:rPr>
        <w:t>years</w:t>
      </w:r>
      <w:r>
        <w:rPr>
          <w:color w:val="0C0C0C"/>
          <w:spacing w:val="12"/>
          <w:sz w:val="18"/>
        </w:rPr>
        <w:t> </w:t>
      </w:r>
      <w:r>
        <w:rPr>
          <w:color w:val="0C0C0C"/>
          <w:sz w:val="18"/>
        </w:rPr>
        <w:t>supporting</w:t>
      </w:r>
      <w:r>
        <w:rPr>
          <w:color w:val="0C0C0C"/>
          <w:spacing w:val="12"/>
          <w:sz w:val="18"/>
        </w:rPr>
        <w:t> </w:t>
      </w:r>
      <w:r>
        <w:rPr>
          <w:color w:val="0C0C0C"/>
          <w:sz w:val="18"/>
        </w:rPr>
        <w:t>clinical</w:t>
      </w:r>
      <w:r>
        <w:rPr>
          <w:color w:val="0C0C0C"/>
          <w:spacing w:val="12"/>
          <w:sz w:val="18"/>
        </w:rPr>
        <w:t> </w:t>
      </w:r>
      <w:r>
        <w:rPr>
          <w:color w:val="0C0C0C"/>
          <w:sz w:val="18"/>
        </w:rPr>
        <w:t>research</w:t>
      </w:r>
      <w:r>
        <w:rPr>
          <w:color w:val="0C0C0C"/>
          <w:spacing w:val="12"/>
          <w:sz w:val="18"/>
        </w:rPr>
        <w:t> </w:t>
      </w:r>
      <w:r>
        <w:rPr>
          <w:color w:val="0C0C0C"/>
          <w:sz w:val="18"/>
        </w:rPr>
        <w:t>and</w:t>
      </w:r>
      <w:r>
        <w:rPr>
          <w:color w:val="0C0C0C"/>
          <w:spacing w:val="12"/>
          <w:sz w:val="18"/>
        </w:rPr>
        <w:t> </w:t>
      </w:r>
      <w:r>
        <w:rPr>
          <w:color w:val="0C0C0C"/>
          <w:sz w:val="18"/>
        </w:rPr>
        <w:t>genomic</w:t>
      </w:r>
      <w:r>
        <w:rPr>
          <w:color w:val="0C0C0C"/>
          <w:spacing w:val="12"/>
          <w:sz w:val="18"/>
        </w:rPr>
        <w:t> </w:t>
      </w:r>
      <w:r>
        <w:rPr>
          <w:color w:val="0C0C0C"/>
          <w:spacing w:val="-2"/>
          <w:sz w:val="18"/>
        </w:rPr>
        <w:t>studies.</w:t>
      </w:r>
    </w:p>
    <w:p>
      <w:pPr>
        <w:spacing w:before="33"/>
        <w:ind w:left="0" w:right="229" w:firstLine="0"/>
        <w:jc w:val="center"/>
        <w:rPr>
          <w:sz w:val="18"/>
        </w:rPr>
      </w:pPr>
      <w:r>
        <w:rPr>
          <w:color w:val="0C0C0C"/>
          <w:spacing w:val="-2"/>
          <w:w w:val="105"/>
          <w:sz w:val="18"/>
        </w:rPr>
        <w:t>Expertise</w:t>
      </w:r>
      <w:r>
        <w:rPr>
          <w:color w:val="0C0C0C"/>
          <w:spacing w:val="-5"/>
          <w:w w:val="105"/>
          <w:sz w:val="18"/>
        </w:rPr>
        <w:t> </w:t>
      </w:r>
      <w:r>
        <w:rPr>
          <w:color w:val="0C0C0C"/>
          <w:spacing w:val="-2"/>
          <w:w w:val="105"/>
          <w:sz w:val="18"/>
        </w:rPr>
        <w:t>in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spacing w:val="-2"/>
          <w:w w:val="105"/>
          <w:sz w:val="18"/>
        </w:rPr>
        <w:t>trial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spacing w:val="-2"/>
          <w:w w:val="105"/>
          <w:sz w:val="18"/>
        </w:rPr>
        <w:t>design,</w:t>
      </w:r>
      <w:r>
        <w:rPr>
          <w:color w:val="0C0C0C"/>
          <w:spacing w:val="-5"/>
          <w:w w:val="105"/>
          <w:sz w:val="18"/>
        </w:rPr>
        <w:t> </w:t>
      </w:r>
      <w:r>
        <w:rPr>
          <w:color w:val="0C0C0C"/>
          <w:spacing w:val="-2"/>
          <w:w w:val="105"/>
          <w:sz w:val="18"/>
        </w:rPr>
        <w:t>survival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spacing w:val="-2"/>
          <w:w w:val="105"/>
          <w:sz w:val="18"/>
        </w:rPr>
        <w:t>analysis,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spacing w:val="-2"/>
          <w:w w:val="105"/>
          <w:sz w:val="18"/>
        </w:rPr>
        <w:t>and</w:t>
      </w:r>
      <w:r>
        <w:rPr>
          <w:color w:val="0C0C0C"/>
          <w:spacing w:val="-5"/>
          <w:w w:val="105"/>
          <w:sz w:val="18"/>
        </w:rPr>
        <w:t> </w:t>
      </w:r>
      <w:r>
        <w:rPr>
          <w:color w:val="0C0C0C"/>
          <w:spacing w:val="-2"/>
          <w:w w:val="105"/>
          <w:sz w:val="18"/>
        </w:rPr>
        <w:t>longitudinal</w:t>
      </w:r>
      <w:r>
        <w:rPr>
          <w:color w:val="0C0C0C"/>
          <w:spacing w:val="-4"/>
          <w:w w:val="105"/>
          <w:sz w:val="18"/>
        </w:rPr>
        <w:t> </w:t>
      </w:r>
      <w:r>
        <w:rPr>
          <w:color w:val="0C0C0C"/>
          <w:spacing w:val="-2"/>
          <w:w w:val="105"/>
          <w:sz w:val="18"/>
        </w:rPr>
        <w:t>modeling.</w:t>
      </w:r>
    </w:p>
    <w:p>
      <w:pPr>
        <w:pStyle w:val="BodyText"/>
        <w:spacing w:before="14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252289</wp:posOffset>
                </wp:positionV>
                <wp:extent cx="46196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.865297pt;width:363.749971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3"/>
      </w:pPr>
      <w:r>
        <w:rPr>
          <w:color w:val="0C0C0C"/>
        </w:rPr>
        <w:t>Professional</w:t>
      </w:r>
      <w:r>
        <w:rPr>
          <w:color w:val="0C0C0C"/>
          <w:spacing w:val="3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74"/>
        <w:ind w:left="311"/>
      </w:pPr>
      <w:r>
        <w:rPr>
          <w:spacing w:val="-2"/>
          <w:w w:val="105"/>
        </w:rPr>
        <w:t>Senior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Biostatistician,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Clinical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Research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Organization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311"/>
      </w:pP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2019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88" w:val="left" w:leader="none"/>
        </w:tabs>
        <w:ind w:left="597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</w:t>
      </w:r>
      <w:r>
        <w:rPr>
          <w:spacing w:val="-3"/>
          <w:w w:val="105"/>
        </w:rPr>
        <w:t> </w:t>
      </w:r>
      <w:r>
        <w:rPr>
          <w:w w:val="105"/>
        </w:rPr>
        <w:t>15+</w:t>
      </w:r>
      <w:r>
        <w:rPr>
          <w:spacing w:val="-3"/>
          <w:w w:val="105"/>
        </w:rPr>
        <w:t> </w:t>
      </w:r>
      <w:r>
        <w:rPr>
          <w:w w:val="105"/>
        </w:rPr>
        <w:t>trials</w:t>
      </w:r>
      <w:r>
        <w:rPr>
          <w:spacing w:val="-3"/>
          <w:w w:val="105"/>
        </w:rPr>
        <w:t> </w:t>
      </w:r>
      <w:r>
        <w:rPr>
          <w:w w:val="105"/>
        </w:rPr>
        <w:t>across</w:t>
      </w:r>
      <w:r>
        <w:rPr>
          <w:spacing w:val="-2"/>
          <w:w w:val="105"/>
        </w:rPr>
        <w:t> </w:t>
      </w:r>
      <w:r>
        <w:rPr>
          <w:w w:val="105"/>
        </w:rPr>
        <w:t>therapeutic</w:t>
      </w:r>
      <w:r>
        <w:rPr>
          <w:spacing w:val="-3"/>
          <w:w w:val="105"/>
        </w:rPr>
        <w:t> </w:t>
      </w:r>
      <w:r>
        <w:rPr>
          <w:w w:val="105"/>
        </w:rPr>
        <w:t>areas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5,000+</w:t>
      </w:r>
      <w:r>
        <w:rPr>
          <w:spacing w:val="-2"/>
          <w:w w:val="105"/>
        </w:rPr>
        <w:t> </w:t>
      </w:r>
      <w:r>
        <w:rPr>
          <w:w w:val="105"/>
        </w:rPr>
        <w:t>enrolled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participants</w:t>
      </w:r>
    </w:p>
    <w:p>
      <w:pPr>
        <w:pStyle w:val="BodyText"/>
        <w:tabs>
          <w:tab w:pos="888" w:val="left" w:leader="none"/>
        </w:tabs>
        <w:spacing w:line="273" w:lineRule="auto" w:before="116"/>
        <w:ind w:left="888" w:right="541" w:hanging="291"/>
      </w:pPr>
      <w:r>
        <w:rPr/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Design statistical analysis plans for 8 Phase II/III trials including sample size and monitoring strategies</w:t>
      </w:r>
    </w:p>
    <w:p>
      <w:pPr>
        <w:pStyle w:val="BodyText"/>
        <w:tabs>
          <w:tab w:pos="888" w:val="left" w:leader="none"/>
        </w:tabs>
        <w:spacing w:line="273" w:lineRule="auto" w:before="91"/>
        <w:ind w:left="888" w:right="644" w:hanging="291"/>
      </w:pPr>
      <w:r>
        <w:rPr/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Conduct survival analyses for oncology trials with 2,500+ patients, identifying 4 subgroups with differential responses</w:t>
      </w:r>
    </w:p>
    <w:p>
      <w:pPr>
        <w:pStyle w:val="BodyText"/>
        <w:tabs>
          <w:tab w:pos="888" w:val="left" w:leader="none"/>
        </w:tabs>
        <w:spacing w:line="273" w:lineRule="auto" w:before="90"/>
        <w:ind w:left="888" w:right="598" w:hanging="291"/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Lead genomic analyses with 1,200+ patients, identifying 6 variants advancing 2 companion diagnostics</w:t>
      </w:r>
    </w:p>
    <w:p>
      <w:pPr>
        <w:pStyle w:val="BodyText"/>
        <w:spacing w:before="102"/>
      </w:pPr>
    </w:p>
    <w:p>
      <w:pPr>
        <w:pStyle w:val="BodyText"/>
        <w:ind w:left="311"/>
      </w:pPr>
      <w:r>
        <w:rPr>
          <w:w w:val="105"/>
        </w:rPr>
        <w:t>University</w:t>
      </w:r>
      <w:r>
        <w:rPr>
          <w:spacing w:val="-12"/>
          <w:w w:val="105"/>
        </w:rPr>
        <w:t> </w:t>
      </w:r>
      <w:r>
        <w:rPr>
          <w:w w:val="105"/>
        </w:rPr>
        <w:t>Public</w:t>
      </w:r>
      <w:r>
        <w:rPr>
          <w:spacing w:val="-11"/>
          <w:w w:val="105"/>
        </w:rPr>
        <w:t> </w:t>
      </w:r>
      <w:r>
        <w:rPr>
          <w:w w:val="105"/>
        </w:rPr>
        <w:t>Health,</w:t>
      </w:r>
      <w:r>
        <w:rPr>
          <w:spacing w:val="-12"/>
          <w:w w:val="105"/>
        </w:rPr>
        <w:t> </w:t>
      </w: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Public</w:t>
      </w:r>
      <w:r>
        <w:rPr>
          <w:spacing w:val="-12"/>
          <w:w w:val="105"/>
        </w:rPr>
        <w:t> </w:t>
      </w:r>
      <w:r>
        <w:rPr>
          <w:w w:val="105"/>
        </w:rPr>
        <w:t>Health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311"/>
      </w:pP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2016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52"/>
      </w:pPr>
    </w:p>
    <w:p>
      <w:pPr>
        <w:pStyle w:val="BodyText"/>
        <w:tabs>
          <w:tab w:pos="888" w:val="left" w:leader="none"/>
        </w:tabs>
        <w:ind w:left="597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Analyzed 25+</w:t>
      </w:r>
      <w:r>
        <w:rPr>
          <w:spacing w:val="1"/>
          <w:w w:val="105"/>
        </w:rPr>
        <w:t> </w:t>
      </w:r>
      <w:r>
        <w:rPr>
          <w:w w:val="105"/>
        </w:rPr>
        <w:t>public health</w:t>
      </w:r>
      <w:r>
        <w:rPr>
          <w:spacing w:val="1"/>
          <w:w w:val="105"/>
        </w:rPr>
        <w:t> </w:t>
      </w:r>
      <w:r>
        <w:rPr>
          <w:w w:val="105"/>
        </w:rPr>
        <w:t>studies</w:t>
      </w:r>
      <w:r>
        <w:rPr>
          <w:spacing w:val="1"/>
          <w:w w:val="105"/>
        </w:rPr>
        <w:t> </w:t>
      </w:r>
      <w:r>
        <w:rPr>
          <w:w w:val="105"/>
        </w:rPr>
        <w:t>with 50,000+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individuals</w:t>
      </w:r>
    </w:p>
    <w:p>
      <w:pPr>
        <w:pStyle w:val="BodyText"/>
        <w:tabs>
          <w:tab w:pos="888" w:val="left" w:leader="none"/>
        </w:tabs>
        <w:spacing w:line="273" w:lineRule="auto" w:before="116"/>
        <w:ind w:left="888" w:right="598" w:hanging="291"/>
      </w:pPr>
      <w:r>
        <w:rPr/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Performed multilevel modeling for 12 cohort studies identifying 8 modiﬁable risk </w:t>
      </w:r>
      <w:r>
        <w:rPr>
          <w:spacing w:val="-2"/>
          <w:w w:val="105"/>
        </w:rPr>
        <w:t>factors</w:t>
      </w:r>
    </w:p>
    <w:p>
      <w:pPr>
        <w:pStyle w:val="BodyText"/>
        <w:tabs>
          <w:tab w:pos="888" w:val="left" w:leader="none"/>
        </w:tabs>
        <w:spacing w:before="90"/>
        <w:ind w:left="597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Consulted</w:t>
      </w:r>
      <w:r>
        <w:rPr>
          <w:spacing w:val="-3"/>
          <w:w w:val="105"/>
        </w:rPr>
        <w:t> </w:t>
      </w:r>
      <w:r>
        <w:rPr>
          <w:w w:val="105"/>
        </w:rPr>
        <w:t>on</w:t>
      </w:r>
      <w:r>
        <w:rPr>
          <w:spacing w:val="-3"/>
          <w:w w:val="105"/>
        </w:rPr>
        <w:t> </w:t>
      </w:r>
      <w:r>
        <w:rPr>
          <w:w w:val="105"/>
        </w:rPr>
        <w:t>proposals</w:t>
      </w:r>
      <w:r>
        <w:rPr>
          <w:spacing w:val="-3"/>
          <w:w w:val="105"/>
        </w:rPr>
        <w:t> </w:t>
      </w:r>
      <w:r>
        <w:rPr>
          <w:w w:val="105"/>
        </w:rPr>
        <w:t>securing</w:t>
      </w:r>
      <w:r>
        <w:rPr>
          <w:spacing w:val="-3"/>
          <w:w w:val="105"/>
        </w:rPr>
        <w:t> </w:t>
      </w:r>
      <w:r>
        <w:rPr>
          <w:w w:val="105"/>
        </w:rPr>
        <w:t>$8</w:t>
      </w:r>
      <w:r>
        <w:rPr>
          <w:spacing w:val="-3"/>
          <w:w w:val="105"/>
        </w:rPr>
        <w:t> </w:t>
      </w:r>
      <w:r>
        <w:rPr>
          <w:w w:val="105"/>
        </w:rPr>
        <w:t>million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federal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funding</w:t>
      </w:r>
    </w:p>
    <w:p>
      <w:pPr>
        <w:pStyle w:val="BodyText"/>
        <w:spacing w:before="127"/>
      </w:pPr>
    </w:p>
    <w:p>
      <w:pPr>
        <w:pStyle w:val="BodyText"/>
        <w:ind w:left="311"/>
      </w:pPr>
      <w:r>
        <w:rPr>
          <w:spacing w:val="-2"/>
          <w:w w:val="105"/>
        </w:rPr>
        <w:t>University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Statistical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Consulting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Center,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Statistical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Consulting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Center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311"/>
      </w:pPr>
      <w:r>
        <w:rPr>
          <w:w w:val="105"/>
        </w:rPr>
        <w:t>August</w:t>
      </w:r>
      <w:r>
        <w:rPr>
          <w:spacing w:val="-4"/>
          <w:w w:val="105"/>
        </w:rPr>
        <w:t> </w:t>
      </w:r>
      <w:r>
        <w:rPr>
          <w:w w:val="105"/>
        </w:rPr>
        <w:t>2014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2016</w:t>
      </w:r>
    </w:p>
    <w:p>
      <w:pPr>
        <w:pStyle w:val="BodyText"/>
        <w:spacing w:before="37"/>
      </w:pPr>
    </w:p>
    <w:p>
      <w:pPr>
        <w:pStyle w:val="BodyText"/>
        <w:tabs>
          <w:tab w:pos="888" w:val="left" w:leader="none"/>
        </w:tabs>
        <w:spacing w:line="273" w:lineRule="auto"/>
        <w:ind w:left="888" w:right="93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Provided statistical consulting for 50+ research projects across medical and biological </w:t>
      </w:r>
      <w:r>
        <w:rPr>
          <w:spacing w:val="-2"/>
          <w:w w:val="105"/>
        </w:rPr>
        <w:t>sciences</w:t>
      </w:r>
    </w:p>
    <w:p>
      <w:pPr>
        <w:pStyle w:val="BodyText"/>
        <w:tabs>
          <w:tab w:pos="888" w:val="left" w:leader="none"/>
        </w:tabs>
        <w:spacing w:line="273" w:lineRule="auto" w:before="106"/>
        <w:ind w:left="888" w:right="705" w:hanging="291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researchers with study design, power calculations, and data analysis </w:t>
      </w:r>
      <w:r>
        <w:rPr>
          <w:spacing w:val="-2"/>
          <w:w w:val="105"/>
        </w:rPr>
        <w:t>strategies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Heading3"/>
      </w:pPr>
      <w:r>
        <w:rPr>
          <w:color w:val="0C0C0C"/>
          <w:spacing w:val="-2"/>
          <w:w w:val="105"/>
        </w:rPr>
        <w:t>Grants</w:t>
      </w:r>
    </w:p>
    <w:p>
      <w:pPr>
        <w:pStyle w:val="BodyText"/>
        <w:tabs>
          <w:tab w:pos="888" w:val="left" w:leader="none"/>
        </w:tabs>
        <w:spacing w:before="174"/>
        <w:ind w:left="597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NIH</w:t>
      </w:r>
      <w:r>
        <w:rPr>
          <w:spacing w:val="-12"/>
          <w:w w:val="105"/>
        </w:rPr>
        <w:t> </w:t>
      </w:r>
      <w:r>
        <w:rPr>
          <w:w w:val="105"/>
        </w:rPr>
        <w:t>R01</w:t>
      </w:r>
      <w:r>
        <w:rPr>
          <w:spacing w:val="-11"/>
          <w:w w:val="105"/>
        </w:rPr>
        <w:t> </w:t>
      </w:r>
      <w:r>
        <w:rPr>
          <w:w w:val="105"/>
        </w:rPr>
        <w:t>Grant</w:t>
      </w:r>
      <w:r>
        <w:rPr>
          <w:spacing w:val="-12"/>
          <w:w w:val="105"/>
        </w:rPr>
        <w:t> </w:t>
      </w:r>
      <w:r>
        <w:rPr>
          <w:w w:val="105"/>
        </w:rPr>
        <w:t>($2.4</w:t>
      </w:r>
      <w:r>
        <w:rPr>
          <w:spacing w:val="-11"/>
          <w:w w:val="105"/>
        </w:rPr>
        <w:t> </w:t>
      </w:r>
      <w:r>
        <w:rPr>
          <w:w w:val="105"/>
        </w:rPr>
        <w:t>million,</w:t>
      </w:r>
      <w:r>
        <w:rPr>
          <w:spacing w:val="-11"/>
          <w:w w:val="105"/>
        </w:rPr>
        <w:t> </w:t>
      </w:r>
      <w:r>
        <w:rPr>
          <w:w w:val="105"/>
        </w:rPr>
        <w:t>2022-</w:t>
      </w:r>
      <w:r>
        <w:rPr>
          <w:spacing w:val="-4"/>
          <w:w w:val="105"/>
        </w:rPr>
        <w:t>2027)</w:t>
      </w:r>
    </w:p>
    <w:p>
      <w:pPr>
        <w:pStyle w:val="BodyText"/>
        <w:tabs>
          <w:tab w:pos="888" w:val="left" w:leader="none"/>
        </w:tabs>
        <w:spacing w:before="116"/>
        <w:ind w:left="597"/>
      </w:pPr>
      <w:r>
        <w:rPr/>
        <w:drawing>
          <wp:inline distT="0" distB="0" distL="0" distR="0">
            <wp:extent cx="47624" cy="47623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NIH</w:t>
      </w:r>
      <w:r>
        <w:rPr>
          <w:spacing w:val="-12"/>
          <w:w w:val="105"/>
        </w:rPr>
        <w:t> </w:t>
      </w:r>
      <w:r>
        <w:rPr>
          <w:w w:val="105"/>
        </w:rPr>
        <w:t>R01</w:t>
      </w:r>
      <w:r>
        <w:rPr>
          <w:spacing w:val="-11"/>
          <w:w w:val="105"/>
        </w:rPr>
        <w:t> </w:t>
      </w:r>
      <w:r>
        <w:rPr>
          <w:w w:val="105"/>
        </w:rPr>
        <w:t>Grant</w:t>
      </w:r>
      <w:r>
        <w:rPr>
          <w:spacing w:val="-12"/>
          <w:w w:val="105"/>
        </w:rPr>
        <w:t> </w:t>
      </w:r>
      <w:r>
        <w:rPr>
          <w:w w:val="105"/>
        </w:rPr>
        <w:t>($2.1</w:t>
      </w:r>
      <w:r>
        <w:rPr>
          <w:spacing w:val="-11"/>
          <w:w w:val="105"/>
        </w:rPr>
        <w:t> </w:t>
      </w:r>
      <w:r>
        <w:rPr>
          <w:w w:val="105"/>
        </w:rPr>
        <w:t>million,</w:t>
      </w:r>
      <w:r>
        <w:rPr>
          <w:spacing w:val="-11"/>
          <w:w w:val="105"/>
        </w:rPr>
        <w:t> </w:t>
      </w:r>
      <w:r>
        <w:rPr>
          <w:w w:val="105"/>
        </w:rPr>
        <w:t>2020-</w:t>
      </w:r>
      <w:r>
        <w:rPr>
          <w:spacing w:val="-4"/>
          <w:w w:val="105"/>
        </w:rPr>
        <w:t>2025)</w:t>
      </w:r>
    </w:p>
    <w:p>
      <w:pPr>
        <w:pStyle w:val="BodyText"/>
      </w:pPr>
    </w:p>
    <w:p>
      <w:pPr>
        <w:pStyle w:val="BodyText"/>
        <w:spacing w:before="57"/>
      </w:pPr>
    </w:p>
    <w:p>
      <w:pPr>
        <w:pStyle w:val="Heading3"/>
      </w:pPr>
      <w:r>
        <w:rPr>
          <w:color w:val="0C0C0C"/>
          <w:spacing w:val="-2"/>
          <w:w w:val="105"/>
        </w:rPr>
        <w:t>Publications</w:t>
      </w:r>
    </w:p>
    <w:p>
      <w:pPr>
        <w:tabs>
          <w:tab w:pos="888" w:val="left" w:leader="none"/>
        </w:tabs>
        <w:spacing w:line="273" w:lineRule="auto" w:before="160"/>
        <w:ind w:left="888" w:right="705" w:hanging="291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  <w:sz w:val="16"/>
        </w:rPr>
        <w:t>Wong,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L.,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al.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(2023).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"Biomarker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identiﬁcation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oncology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trials."</w:t>
      </w:r>
      <w:r>
        <w:rPr>
          <w:spacing w:val="-5"/>
          <w:w w:val="105"/>
          <w:sz w:val="16"/>
        </w:rPr>
        <w:t> </w:t>
      </w:r>
      <w:r>
        <w:rPr>
          <w:i/>
          <w:w w:val="105"/>
          <w:sz w:val="16"/>
        </w:rPr>
        <w:t>Statistics</w:t>
      </w:r>
      <w:r>
        <w:rPr>
          <w:i/>
          <w:spacing w:val="-5"/>
          <w:w w:val="105"/>
          <w:sz w:val="16"/>
        </w:rPr>
        <w:t> </w:t>
      </w:r>
      <w:r>
        <w:rPr>
          <w:i/>
          <w:w w:val="105"/>
          <w:sz w:val="16"/>
        </w:rPr>
        <w:t>in</w:t>
      </w:r>
      <w:r>
        <w:rPr>
          <w:i/>
          <w:w w:val="105"/>
          <w:sz w:val="16"/>
        </w:rPr>
        <w:t> Medicine</w:t>
      </w:r>
      <w:r>
        <w:rPr>
          <w:w w:val="105"/>
          <w:sz w:val="16"/>
        </w:rPr>
        <w:t>, 42(8), 1234-1250.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Heading3"/>
      </w:pPr>
      <w:r>
        <w:rPr>
          <w:color w:val="0C0C0C"/>
        </w:rPr>
        <w:t>Professional</w:t>
      </w:r>
      <w:r>
        <w:rPr>
          <w:color w:val="0C0C0C"/>
          <w:spacing w:val="-10"/>
          <w:w w:val="115"/>
        </w:rPr>
        <w:t> </w:t>
      </w:r>
      <w:r>
        <w:rPr>
          <w:color w:val="0C0C0C"/>
          <w:spacing w:val="-2"/>
          <w:w w:val="115"/>
        </w:rPr>
        <w:t>Afliations</w:t>
      </w:r>
    </w:p>
    <w:p>
      <w:pPr>
        <w:pStyle w:val="Heading3"/>
        <w:spacing w:after="0"/>
        <w:sectPr>
          <w:type w:val="continuous"/>
          <w:pgSz w:w="11920" w:h="16860"/>
          <w:pgMar w:top="0" w:bottom="0" w:left="283" w:right="141"/>
          <w:cols w:num="2" w:equalWidth="0">
            <w:col w:w="3365" w:space="689"/>
            <w:col w:w="7442"/>
          </w:cols>
        </w:sectPr>
      </w:pPr>
    </w:p>
    <w:p>
      <w:pPr>
        <w:pStyle w:val="ListParagraph"/>
        <w:numPr>
          <w:ilvl w:val="0"/>
          <w:numId w:val="1"/>
        </w:numPr>
        <w:tabs>
          <w:tab w:pos="4942" w:val="left" w:leader="none"/>
        </w:tabs>
        <w:spacing w:line="240" w:lineRule="auto" w:before="160" w:after="0"/>
        <w:ind w:left="4942" w:right="0" w:hanging="291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91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91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38137" y="3086099"/>
                            <a:ext cx="107632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790950">
                                <a:moveTo>
                                  <a:pt x="47625" y="3763797"/>
                                </a:moveTo>
                                <a:lnTo>
                                  <a:pt x="27165" y="3743325"/>
                                </a:lnTo>
                                <a:lnTo>
                                  <a:pt x="20472" y="3743325"/>
                                </a:lnTo>
                                <a:lnTo>
                                  <a:pt x="0" y="3763797"/>
                                </a:lnTo>
                                <a:lnTo>
                                  <a:pt x="0" y="3767366"/>
                                </a:lnTo>
                                <a:lnTo>
                                  <a:pt x="0" y="3770490"/>
                                </a:lnTo>
                                <a:lnTo>
                                  <a:pt x="20472" y="3790950"/>
                                </a:lnTo>
                                <a:lnTo>
                                  <a:pt x="27165" y="3790950"/>
                                </a:lnTo>
                                <a:lnTo>
                                  <a:pt x="47625" y="3770490"/>
                                </a:lnTo>
                                <a:lnTo>
                                  <a:pt x="47625" y="3763797"/>
                                </a:lnTo>
                                <a:close/>
                              </a:path>
                              <a:path w="1076325" h="3790950">
                                <a:moveTo>
                                  <a:pt x="47625" y="3411372"/>
                                </a:moveTo>
                                <a:lnTo>
                                  <a:pt x="27165" y="3390900"/>
                                </a:lnTo>
                                <a:lnTo>
                                  <a:pt x="20472" y="3390900"/>
                                </a:lnTo>
                                <a:lnTo>
                                  <a:pt x="0" y="3411372"/>
                                </a:lnTo>
                                <a:lnTo>
                                  <a:pt x="0" y="3414941"/>
                                </a:lnTo>
                                <a:lnTo>
                                  <a:pt x="0" y="3418065"/>
                                </a:lnTo>
                                <a:lnTo>
                                  <a:pt x="20472" y="3438525"/>
                                </a:lnTo>
                                <a:lnTo>
                                  <a:pt x="27165" y="3438525"/>
                                </a:lnTo>
                                <a:lnTo>
                                  <a:pt x="47625" y="3418065"/>
                                </a:lnTo>
                                <a:lnTo>
                                  <a:pt x="47625" y="3411372"/>
                                </a:lnTo>
                                <a:close/>
                              </a:path>
                              <a:path w="1076325" h="3790950">
                                <a:moveTo>
                                  <a:pt x="47625" y="3058947"/>
                                </a:moveTo>
                                <a:lnTo>
                                  <a:pt x="27165" y="3038475"/>
                                </a:lnTo>
                                <a:lnTo>
                                  <a:pt x="20472" y="3038475"/>
                                </a:lnTo>
                                <a:lnTo>
                                  <a:pt x="0" y="3058947"/>
                                </a:lnTo>
                                <a:lnTo>
                                  <a:pt x="0" y="3062516"/>
                                </a:lnTo>
                                <a:lnTo>
                                  <a:pt x="0" y="3065640"/>
                                </a:lnTo>
                                <a:lnTo>
                                  <a:pt x="20472" y="3086100"/>
                                </a:lnTo>
                                <a:lnTo>
                                  <a:pt x="27165" y="3086100"/>
                                </a:lnTo>
                                <a:lnTo>
                                  <a:pt x="47625" y="3065640"/>
                                </a:lnTo>
                                <a:lnTo>
                                  <a:pt x="47625" y="3058947"/>
                                </a:lnTo>
                                <a:close/>
                              </a:path>
                              <a:path w="1076325" h="3790950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1076325" h="3790950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1076325" h="379095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379095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79095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803392" id="docshapegroup2" coordorigin="0,0" coordsize="4065,16860">
                <v:rect style="position:absolute;left:0;top:0;width:4065;height:16860" id="docshape3" filled="true" fillcolor="#b6916a" stroked="false">
                  <v:fill type="solid"/>
                </v:rect>
                <v:shape style="position:absolute;left:0;top:0;width:4050;height:3930" id="docshape4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5" coordorigin="0,0" coordsize="4050,3930" path="m0,3930l0,0,4050,0,0,3930xe" filled="true" fillcolor="#b6916a" stroked="false">
                  <v:path arrowok="t"/>
                  <v:fill opacity="32899f" type="solid"/>
                </v:shape>
                <v:shape style="position:absolute;left:915;top:870;width:2215;height:2205" type="#_x0000_t75" id="docshape6" stroked="false">
                  <v:imagedata r:id="rId8" o:title=""/>
                </v:shape>
                <v:shape style="position:absolute;left:689;top:4860;width:1695;height:5970" id="docshape7" coordorigin="690,4860" coordsize="1695,5970" path="m765,10787l764,10782,760,10773,758,10769,751,10762,747,10760,738,10756,733,10755,722,10755,717,10756,708,10760,704,10762,697,10769,695,10773,691,10782,690,10787,690,10793,690,10798,691,10803,695,10812,697,10816,704,10823,708,10825,717,10829,722,10830,733,10830,738,10829,747,10825,751,10823,758,10816,760,10812,764,10803,765,10798,765,10787xm765,10232l764,10227,760,10218,758,10214,751,10207,747,10205,738,10201,733,10200,722,10200,717,10201,708,10205,704,10207,697,10214,695,10218,691,10227,690,10232,690,10238,690,10243,691,10248,695,10257,697,10261,704,10268,708,10270,717,10274,722,10275,733,10275,738,10274,747,10270,751,10268,758,10261,760,10257,764,10248,765,10243,765,10232xm765,9677l764,9672,760,9663,758,9659,751,9652,747,9650,738,9646,733,9645,722,9645,717,9646,708,9650,704,9652,697,9659,695,9663,691,9672,690,9677,690,9683,690,9688,691,9693,695,9702,697,9706,704,9713,708,9715,717,9719,722,9720,733,9720,738,9719,747,9715,751,9713,758,9706,760,9702,764,9693,765,9688,765,9677xm765,9107l764,9102,760,9093,758,9089,751,9082,747,9080,738,9076,733,9075,722,9075,717,9076,708,9080,704,9082,697,9089,695,9093,691,9102,690,9107,690,9113,690,9118,691,9123,695,9132,697,9136,704,9143,708,9145,717,9149,722,9150,733,9150,738,9149,747,9145,751,9143,758,9136,760,9132,764,9123,765,9118,765,9107xm765,8552l764,8547,760,8538,758,8534,751,8527,747,8525,738,8521,733,8520,722,8520,717,8521,708,8525,704,8527,697,8534,695,8538,691,8547,690,8552,690,8558,690,8563,691,8568,695,8577,697,8581,704,8588,708,8590,717,8594,722,8595,733,8595,738,8594,747,8590,751,8588,758,8581,760,8577,764,8568,765,8563,765,855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American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Statistical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Association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(Member)</w:t>
      </w:r>
    </w:p>
    <w:p>
      <w:pPr>
        <w:pStyle w:val="ListParagraph"/>
        <w:numPr>
          <w:ilvl w:val="0"/>
          <w:numId w:val="1"/>
        </w:numPr>
        <w:tabs>
          <w:tab w:pos="4942" w:val="left" w:leader="none"/>
        </w:tabs>
        <w:spacing w:line="240" w:lineRule="auto" w:before="116" w:after="0"/>
        <w:ind w:left="4942" w:right="0" w:hanging="291"/>
        <w:jc w:val="left"/>
        <w:rPr>
          <w:sz w:val="16"/>
        </w:rPr>
      </w:pPr>
      <w:r>
        <w:rPr>
          <w:w w:val="105"/>
          <w:sz w:val="16"/>
        </w:rPr>
        <w:t>International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Biometric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Society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(Member)</w:t>
      </w:r>
    </w:p>
    <w:sectPr>
      <w:type w:val="continuous"/>
      <w:pgSz w:w="11920" w:h="16860"/>
      <w:pgMar w:top="0" w:bottom="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942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95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50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06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561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217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872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528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83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right="229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3"/>
      <w:jc w:val="center"/>
      <w:outlineLvl w:val="2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07"/>
      <w:outlineLvl w:val="3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404"/>
      <w:outlineLvl w:val="4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6"/>
      <w:ind w:left="4942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2026-02-26T14:38:38Z</dcterms:created>
  <dcterms:modified xsi:type="dcterms:W3CDTF">2026-02-26T14:38:38Z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