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z w:val="82"/>
        </w:rPr>
        <w:t>Dr.</w:t>
      </w:r>
      <w:r>
        <w:rPr>
          <w:b/>
          <w:color w:val="0C0C0C"/>
          <w:spacing w:val="-56"/>
          <w:sz w:val="82"/>
        </w:rPr>
        <w:t> </w:t>
      </w:r>
      <w:r>
        <w:rPr>
          <w:b/>
          <w:color w:val="0C0C0C"/>
          <w:spacing w:val="9"/>
          <w:sz w:val="82"/>
        </w:rPr>
        <w:t>James</w:t>
      </w:r>
      <w:r>
        <w:rPr>
          <w:b/>
          <w:color w:val="0C0C0C"/>
          <w:spacing w:val="-57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Rodriguez</w:t>
      </w:r>
    </w:p>
    <w:p>
      <w:pPr>
        <w:pStyle w:val="Heading1"/>
        <w:spacing w:before="169"/>
        <w:ind w:left="873"/>
      </w:pPr>
      <w:r>
        <w:rPr>
          <w:color w:val="0C0C0C"/>
        </w:rPr>
        <w:t>Biomedical</w:t>
      </w:r>
      <w:r>
        <w:rPr>
          <w:color w:val="0C0C0C"/>
          <w:spacing w:val="32"/>
        </w:rPr>
        <w:t> </w:t>
      </w:r>
      <w:r>
        <w:rPr>
          <w:color w:val="0C0C0C"/>
          <w:spacing w:val="-2"/>
        </w:rPr>
        <w:t>researcher</w:t>
      </w:r>
    </w:p>
    <w:p>
      <w:pPr>
        <w:pStyle w:val="Heading2"/>
      </w:pPr>
      <w:r>
        <w:rPr/>
        <w:t>Biomedical</w:t>
      </w:r>
      <w:r>
        <w:rPr>
          <w:spacing w:val="63"/>
        </w:rPr>
        <w:t> </w:t>
      </w:r>
      <w:r>
        <w:rPr/>
        <w:t>researcher</w:t>
      </w:r>
      <w:r>
        <w:rPr>
          <w:spacing w:val="64"/>
        </w:rPr>
        <w:t> </w:t>
      </w:r>
      <w:r>
        <w:rPr/>
        <w:t>specializing</w:t>
      </w:r>
      <w:r>
        <w:rPr>
          <w:spacing w:val="63"/>
        </w:rPr>
        <w:t> </w:t>
      </w:r>
      <w:r>
        <w:rPr/>
        <w:t>in</w:t>
      </w:r>
      <w:r>
        <w:rPr>
          <w:spacing w:val="64"/>
        </w:rPr>
        <w:t> </w:t>
      </w:r>
      <w:r>
        <w:rPr/>
        <w:t>neurodegenerative</w:t>
      </w:r>
      <w:r>
        <w:rPr>
          <w:spacing w:val="64"/>
        </w:rPr>
        <w:t> </w:t>
      </w:r>
      <w:r>
        <w:rPr>
          <w:spacing w:val="-2"/>
        </w:rPr>
        <w:t>disease</w:t>
      </w:r>
    </w:p>
    <w:p>
      <w:pPr>
        <w:pStyle w:val="BodyText"/>
        <w:spacing w:line="278" w:lineRule="auto" w:before="18"/>
        <w:ind w:left="873" w:right="884"/>
      </w:pPr>
      <w:r>
        <w:rPr>
          <w:w w:val="105"/>
        </w:rPr>
        <w:t>Researcher with 10 years investigating Alzheimer's and Parkinson's mechanisms. Expertise in rodent models, behavioral neuroscience, and molecular pathology.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41"/>
        <w:rPr>
          <w:sz w:val="29"/>
        </w:rPr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-84193</wp:posOffset>
                </wp:positionV>
                <wp:extent cx="2324100" cy="5238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B98686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629431pt;width:183pt;height:41.25pt;mso-position-horizontal-relative:page;mso-position-vertical-relative:paragraph;z-index:15730176" type="#_x0000_t202" id="docshape1" filled="true" fillcolor="#b98686" stroked="false"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before="9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(555)</w:t>
      </w:r>
      <w:r>
        <w:rPr>
          <w:spacing w:val="16"/>
        </w:rPr>
        <w:t> </w:t>
      </w:r>
      <w:r>
        <w:rPr/>
        <w:t>678-</w:t>
      </w:r>
      <w:r>
        <w:rPr>
          <w:spacing w:val="-4"/>
        </w:rPr>
        <w:t>9012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Principal</w:t>
      </w:r>
      <w:r>
        <w:rPr>
          <w:spacing w:val="38"/>
        </w:rPr>
        <w:t> </w:t>
      </w:r>
      <w:r>
        <w:rPr/>
        <w:t>Investigator</w:t>
      </w:r>
      <w:r>
        <w:rPr>
          <w:spacing w:val="38"/>
        </w:rPr>
        <w:t> </w:t>
      </w:r>
      <w:r>
        <w:rPr/>
        <w:t>/</w:t>
      </w:r>
      <w:r>
        <w:rPr>
          <w:spacing w:val="21"/>
        </w:rPr>
        <w:t> </w:t>
      </w:r>
      <w:r>
        <w:rPr/>
        <w:t>Assistant</w:t>
      </w:r>
      <w:r>
        <w:rPr>
          <w:spacing w:val="38"/>
        </w:rPr>
        <w:t> </w:t>
      </w:r>
      <w:r>
        <w:rPr/>
        <w:t>Professor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Medical</w:t>
      </w:r>
      <w:r>
        <w:rPr>
          <w:spacing w:val="38"/>
        </w:rPr>
        <w:t> </w:t>
      </w:r>
      <w:r>
        <w:rPr/>
        <w:t>University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City,</w:t>
      </w:r>
      <w:r>
        <w:rPr>
          <w:spacing w:val="39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1078"/>
      </w:pPr>
      <w:r>
        <w:rPr/>
        <w:t>July</w:t>
      </w:r>
      <w:r>
        <w:rPr>
          <w:spacing w:val="19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0" w:right="141"/>
          <w:cols w:num="2" w:equalWidth="0">
            <w:col w:w="2390" w:space="996"/>
            <w:col w:w="8393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t>LinkedIn</w:t>
      </w:r>
      <w:r>
        <w:rPr>
          <w:spacing w:val="14"/>
        </w:rPr>
        <w:t> </w:t>
      </w:r>
      <w:r>
        <w:rPr>
          <w:position w:val="1"/>
          <w:sz w:val="16"/>
        </w:rPr>
        <w:t>|</w:t>
      </w:r>
      <w:r>
        <w:rPr>
          <w:spacing w:val="20"/>
          <w:position w:val="1"/>
          <w:sz w:val="16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36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laboratory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$2.5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funding,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supervising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researchers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25" w:after="0"/>
        <w:ind w:left="1375" w:right="201" w:hanging="298"/>
        <w:jc w:val="left"/>
        <w:rPr>
          <w:sz w:val="18"/>
        </w:rPr>
      </w:pPr>
      <w:r>
        <w:rPr>
          <w:w w:val="105"/>
          <w:sz w:val="18"/>
        </w:rPr>
        <w:t>Identify Alzheimer's therapeutic target showing 70% pathology reduction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mouse models with small molecule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443" w:hanging="298"/>
        <w:jc w:val="left"/>
        <w:rPr>
          <w:sz w:val="18"/>
        </w:rPr>
      </w:pPr>
      <w:r>
        <w:rPr>
          <w:w w:val="105"/>
          <w:sz w:val="18"/>
        </w:rPr>
        <w:t>Establish pharma partnership negotiating $3 million research agreement with $15 million milestone licensing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41"/>
          <w:cols w:num="2" w:equalWidth="0">
            <w:col w:w="2837" w:space="864"/>
            <w:col w:w="8078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spacing w:before="75"/>
        <w:ind w:left="1078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line="240" w:lineRule="auto"/>
        <w:ind w:left="0" w:right="-28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98686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2" filled="true" fillcolor="#b98686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0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38" w:hanging="298"/>
        <w:jc w:val="left"/>
        <w:rPr>
          <w:sz w:val="18"/>
        </w:rPr>
      </w:pPr>
      <w:r>
        <w:rPr>
          <w:w w:val="105"/>
          <w:sz w:val="18"/>
        </w:rPr>
        <w:t>Rodent neuroscience models (transgenic, viral vectors)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7" w:lineRule="exact" w:before="59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Behavioral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neuroscience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63" w:lineRule="exact"/>
        <w:ind w:left="855"/>
      </w:pPr>
      <w:r>
        <w:rPr>
          <w:w w:val="105"/>
        </w:rPr>
        <w:t>cognitive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spacing w:before="153"/>
        <w:ind w:left="557"/>
      </w:pPr>
      <w:r>
        <w:rPr/>
        <w:br w:type="column"/>
      </w:r>
      <w:r>
        <w:rPr/>
        <w:t>Postdoctoral</w:t>
      </w:r>
      <w:r>
        <w:rPr>
          <w:spacing w:val="37"/>
        </w:rPr>
        <w:t> </w:t>
      </w:r>
      <w:r>
        <w:rPr/>
        <w:t>Fellow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Neuroscience</w:t>
      </w:r>
      <w:r>
        <w:rPr>
          <w:spacing w:val="37"/>
        </w:rPr>
        <w:t> </w:t>
      </w:r>
      <w:r>
        <w:rPr/>
        <w:t>Institute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City,</w:t>
      </w:r>
      <w:r>
        <w:rPr>
          <w:spacing w:val="38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557"/>
      </w:pP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2014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01" w:lineRule="auto" w:before="0" w:after="0"/>
        <w:ind w:left="1171" w:right="135" w:hanging="298"/>
        <w:jc w:val="left"/>
        <w:rPr>
          <w:sz w:val="18"/>
        </w:rPr>
      </w:pPr>
      <w:r>
        <w:rPr>
          <w:w w:val="105"/>
          <w:sz w:val="18"/>
        </w:rPr>
        <w:t>Researched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synaptic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dysfunction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Alzheimer's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models,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publishing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first-author papers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189" w:lineRule="auto" w:before="109" w:after="0"/>
        <w:ind w:left="1171" w:right="471" w:hanging="298"/>
        <w:jc w:val="left"/>
        <w:rPr>
          <w:sz w:val="18"/>
        </w:rPr>
      </w:pPr>
      <w:r>
        <w:rPr>
          <w:w w:val="105"/>
          <w:sz w:val="18"/>
        </w:rPr>
        <w:t>Developed behavioral paradigm detecting deficits 6 months earlier than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conventional tests</w:t>
      </w:r>
    </w:p>
    <w:p>
      <w:pPr>
        <w:pStyle w:val="BodyText"/>
        <w:spacing w:before="167"/>
      </w:pPr>
    </w:p>
    <w:p>
      <w:pPr>
        <w:pStyle w:val="BodyText"/>
        <w:spacing w:before="1"/>
        <w:ind w:left="557"/>
      </w:pPr>
      <w:r>
        <w:rPr/>
        <w:t>Graduate</w:t>
      </w:r>
      <w:r>
        <w:rPr>
          <w:spacing w:val="36"/>
        </w:rPr>
        <w:t> </w:t>
      </w:r>
      <w:r>
        <w:rPr/>
        <w:t>Research</w:t>
      </w:r>
      <w:r>
        <w:rPr>
          <w:spacing w:val="22"/>
        </w:rPr>
        <w:t> </w:t>
      </w:r>
      <w:r>
        <w:rPr/>
        <w:t>Assistant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Graduate</w:t>
      </w:r>
      <w:r>
        <w:rPr>
          <w:spacing w:val="37"/>
        </w:rPr>
        <w:t> </w:t>
      </w:r>
      <w:r>
        <w:rPr/>
        <w:t>University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City,</w:t>
      </w:r>
      <w:r>
        <w:rPr>
          <w:spacing w:val="38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557"/>
      </w:pP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2008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0" w:right="141"/>
          <w:cols w:num="2" w:equalWidth="0">
            <w:col w:w="3423" w:space="483"/>
            <w:col w:w="7873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204" w:after="0"/>
        <w:ind w:left="855" w:right="698" w:hanging="298"/>
        <w:jc w:val="left"/>
        <w:rPr>
          <w:sz w:val="18"/>
        </w:rPr>
      </w:pPr>
      <w:r>
        <w:rPr>
          <w:w w:val="105"/>
          <w:sz w:val="18"/>
        </w:rPr>
        <w:t>Histopathology and </w:t>
      </w:r>
      <w:r>
        <w:rPr>
          <w:spacing w:val="-2"/>
          <w:sz w:val="18"/>
        </w:rPr>
        <w:t>immunohistochemistry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81" w:after="0"/>
        <w:ind w:left="855" w:right="38" w:hanging="298"/>
        <w:jc w:val="left"/>
        <w:rPr>
          <w:sz w:val="18"/>
        </w:rPr>
      </w:pPr>
      <w:r>
        <w:rPr>
          <w:sz w:val="18"/>
        </w:rPr>
        <w:t>Protein biochemistry (Western blot, ELISA, IP)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51" w:hanging="298"/>
        <w:jc w:val="left"/>
        <w:rPr>
          <w:sz w:val="18"/>
        </w:rPr>
      </w:pPr>
      <w:r>
        <w:rPr>
          <w:w w:val="105"/>
          <w:sz w:val="18"/>
        </w:rPr>
        <w:t>Transcriptomic and proteomic data analysis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Completed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doctoral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synaptic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mechanisms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cognitive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decline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Published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first-author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graduate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BodyText"/>
      </w:pPr>
    </w:p>
    <w:p>
      <w:pPr>
        <w:pStyle w:val="BodyText"/>
        <w:spacing w:before="68"/>
      </w:pPr>
    </w:p>
    <w:p>
      <w:pPr>
        <w:pStyle w:val="Heading1"/>
        <w:ind w:left="725"/>
      </w:pPr>
      <w:r>
        <w:rPr>
          <w:color w:val="0C0C0C"/>
          <w:spacing w:val="-2"/>
        </w:rPr>
        <w:t>GRANTS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313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NIH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R01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($2.4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2022-</w:t>
      </w:r>
      <w:r>
        <w:rPr>
          <w:spacing w:val="-2"/>
          <w:w w:val="105"/>
          <w:sz w:val="18"/>
        </w:rPr>
        <w:t>2027)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NIH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R01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($2.1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2020-</w:t>
      </w:r>
      <w:r>
        <w:rPr>
          <w:spacing w:val="-2"/>
          <w:w w:val="105"/>
          <w:sz w:val="18"/>
        </w:rPr>
        <w:t>2025)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141"/>
          <w:cols w:num="2" w:equalWidth="0">
            <w:col w:w="3489" w:space="733"/>
            <w:col w:w="7557"/>
          </w:cols>
        </w:sectPr>
      </w:pPr>
    </w:p>
    <w:p>
      <w:pPr>
        <w:pStyle w:val="BodyText"/>
        <w:spacing w:before="134"/>
        <w:rPr>
          <w:sz w:val="29"/>
        </w:rPr>
      </w:pPr>
    </w:p>
    <w:p>
      <w:pPr>
        <w:pStyle w:val="Heading1"/>
        <w:ind w:left="33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-455713</wp:posOffset>
                </wp:positionV>
                <wp:extent cx="2324100" cy="5334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98686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5.882973pt;width:183pt;height:42pt;mso-position-horizontal-relative:page;mso-position-vertical-relative:paragraph;z-index:15729664" type="#_x0000_t202" id="docshape3" filled="true" fillcolor="#b98686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  <w:spacing w:val="-2"/>
        </w:rPr>
        <w:t>PUBLICATIONS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860" w:bottom="280" w:left="0" w:right="141"/>
        </w:sectPr>
      </w:pPr>
    </w:p>
    <w:p>
      <w:pPr>
        <w:pStyle w:val="BodyText"/>
        <w:spacing w:line="261" w:lineRule="auto" w:before="160"/>
        <w:ind w:left="557" w:right="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9867887"/>
                                </a:moveTo>
                                <a:lnTo>
                                  <a:pt x="0" y="98678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98678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8724887"/>
                                </a:moveTo>
                                <a:lnTo>
                                  <a:pt x="0" y="8724887"/>
                                </a:lnTo>
                                <a:lnTo>
                                  <a:pt x="0" y="9458312"/>
                                </a:lnTo>
                                <a:lnTo>
                                  <a:pt x="4901171" y="9458312"/>
                                </a:lnTo>
                                <a:lnTo>
                                  <a:pt x="4901171" y="87248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7572362"/>
                                </a:moveTo>
                                <a:lnTo>
                                  <a:pt x="0" y="7572362"/>
                                </a:lnTo>
                                <a:lnTo>
                                  <a:pt x="0" y="8305787"/>
                                </a:lnTo>
                                <a:lnTo>
                                  <a:pt x="4901171" y="8305787"/>
                                </a:lnTo>
                                <a:lnTo>
                                  <a:pt x="4901171" y="75723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7162787"/>
                                </a:lnTo>
                                <a:lnTo>
                                  <a:pt x="4901171" y="71627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76225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86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87" y="2428887"/>
                            <a:ext cx="4901565" cy="795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953375">
                                <a:moveTo>
                                  <a:pt x="4901184" y="7439012"/>
                                </a:moveTo>
                                <a:lnTo>
                                  <a:pt x="0" y="7439012"/>
                                </a:lnTo>
                                <a:lnTo>
                                  <a:pt x="0" y="7953362"/>
                                </a:lnTo>
                                <a:lnTo>
                                  <a:pt x="4901184" y="7953362"/>
                                </a:lnTo>
                                <a:lnTo>
                                  <a:pt x="4901184" y="7439012"/>
                                </a:lnTo>
                                <a:close/>
                              </a:path>
                              <a:path w="4901565" h="7953375">
                                <a:moveTo>
                                  <a:pt x="4901184" y="6296012"/>
                                </a:moveTo>
                                <a:lnTo>
                                  <a:pt x="0" y="6296012"/>
                                </a:lnTo>
                                <a:lnTo>
                                  <a:pt x="0" y="7029437"/>
                                </a:lnTo>
                                <a:lnTo>
                                  <a:pt x="4901184" y="7029437"/>
                                </a:lnTo>
                                <a:lnTo>
                                  <a:pt x="4901184" y="6296012"/>
                                </a:lnTo>
                                <a:close/>
                              </a:path>
                              <a:path w="4901565" h="7953375">
                                <a:moveTo>
                                  <a:pt x="4901184" y="5143487"/>
                                </a:moveTo>
                                <a:lnTo>
                                  <a:pt x="0" y="5143487"/>
                                </a:lnTo>
                                <a:lnTo>
                                  <a:pt x="0" y="5876912"/>
                                </a:lnTo>
                                <a:lnTo>
                                  <a:pt x="4901184" y="5876912"/>
                                </a:lnTo>
                                <a:lnTo>
                                  <a:pt x="4901184" y="5143487"/>
                                </a:lnTo>
                                <a:close/>
                              </a:path>
                              <a:path w="4901565" h="79533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733912"/>
                                </a:lnTo>
                                <a:lnTo>
                                  <a:pt x="4901184" y="47339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9533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4649" y="2724150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72414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14649" y="7162799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66999" y="716279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14649" y="8305799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66999" y="8305799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14649" y="94583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66999" y="94583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861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2442" y="38766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3322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7148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803904" id="docshapegroup4" coordorigin="0,0" coordsize="11919,16858">
                <v:shape style="position:absolute;left:4200;top:0;width:7719;height:16858" id="docshape5" coordorigin="4200,0" coordsize="7719,16858" path="m11918,15540l4200,15540,4200,16858,11918,16858,11918,15540xm11918,13740l4200,13740,4200,14895,11918,14895,11918,13740xm11918,11925l4200,11925,4200,13080,11918,13080,11918,11925xm11918,8360l4200,8360,4200,11280,11918,1128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90" id="docshape6" filled="true" fillcolor="#b98686" stroked="false">
                  <v:fill opacity="32899f" type="solid"/>
                </v:rect>
                <v:shape style="position:absolute;left:4199;top:3825;width:7719;height:12525" id="docshape7" coordorigin="4200,3825" coordsize="7719,12525" path="m11918,15540l4200,15540,4200,16350,11918,16350,11918,15540xm11918,13740l4200,13740,4200,14895,11918,14895,11918,13740xm11918,11925l4200,11925,4200,13080,11918,13080,11918,11925xm11918,4935l4200,4935,4200,11280,11918,11280,11918,4935xm11918,3825l4200,3825,4200,4290,11918,4290,11918,3825xe" filled="true" fillcolor="#f5f5f5" stroked="false">
                  <v:path arrowok="t"/>
                  <v:fill type="solid"/>
                </v:shape>
                <v:rect style="position:absolute;left:4590;top:4290;width:7329;height:645" id="docshape8" filled="true" fillcolor="#d9d9d9" stroked="false">
                  <v:fill type="solid"/>
                </v:rect>
                <v:rect style="position:absolute;left:4200;top:4290;width:390;height:645" id="docshape9" filled="true" fillcolor="#b98686" stroked="false">
                  <v:fill type="solid"/>
                </v:rect>
                <v:rect style="position:absolute;left:4590;top:11280;width:7329;height:645" id="docshape10" filled="true" fillcolor="#d9d9d9" stroked="false">
                  <v:fill type="solid"/>
                </v:rect>
                <v:rect style="position:absolute;left:4200;top:11280;width:390;height:645" id="docshape11" filled="true" fillcolor="#b98686" stroked="false">
                  <v:fill type="solid"/>
                </v:rect>
                <v:rect style="position:absolute;left:4590;top:13080;width:7329;height:660" id="docshape12" filled="true" fillcolor="#d9d9d9" stroked="false">
                  <v:fill type="solid"/>
                </v:rect>
                <v:rect style="position:absolute;left:4200;top:13080;width:390;height:660" id="docshape13" filled="true" fillcolor="#b98686" stroked="false">
                  <v:fill type="solid"/>
                </v:rect>
                <v:rect style="position:absolute;left:4590;top:14895;width:7329;height:645" id="docshape14" filled="true" fillcolor="#d9d9d9" stroked="false">
                  <v:fill type="solid"/>
                </v:rect>
                <v:rect style="position:absolute;left:4200;top:14895;width:390;height:645" id="docshape15" filled="true" fillcolor="#b98686" stroked="false">
                  <v:fill type="solid"/>
                </v:rect>
                <v:shape style="position:absolute;left:555;top:5490;width:354;height:354" type="#_x0000_t75" id="docshape16" stroked="false">
                  <v:imagedata r:id="rId6" o:title=""/>
                </v:shape>
                <v:shape style="position:absolute;left:555;top:6105;width:354;height:407" id="docshape17" coordorigin="555,6105" coordsize="354,407" path="m790,6157l673,6157,732,6105,790,6157xm908,6512l555,6512,555,6261,617,6206,617,6157,846,6157,846,6178,638,6178,638,6282,576,6282,576,6470,598,6470,576,6491,908,6491,908,6512xm795,6366l773,6366,825,6320,825,6178,846,6178,846,6206,908,6261,908,6282,887,6282,795,6366xm804,6220l659,6220,659,6199,804,6199,804,6220xm804,6261l659,6261,659,6241,804,6241,804,6261xm598,6470l576,6470,680,6376,576,6282,638,6282,638,6320,690,6366,795,6366,784,6376,789,6381,693,6381,598,6470xm804,6303l659,6303,659,6282,804,6282,804,6303xm908,6470l887,6470,887,6282,908,6282,908,6470xm908,6491l887,6491,770,6381,789,6381,887,6470,908,6470,908,6491xe" filled="true" fillcolor="#000000" stroked="false">
                  <v:path arrowok="t"/>
                  <v:fill type="solid"/>
                </v:shape>
                <v:shape style="position:absolute;left:555;top:6822;width:354;height:306" type="#_x0000_t75" id="docshape18" stroked="false">
                  <v:imagedata r:id="rId7" o:title=""/>
                </v:shape>
                <v:shape style="position:absolute;left:555;top:7425;width:354;height:356" type="#_x0000_t75" id="docshape1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2015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Ph.D.</w:t>
      </w:r>
      <w:r>
        <w:rPr>
          <w:spacing w:val="-4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Neuroscience</w:t>
      </w:r>
    </w:p>
    <w:p>
      <w:pPr>
        <w:pStyle w:val="BodyText"/>
        <w:spacing w:before="106"/>
      </w:pPr>
    </w:p>
    <w:p>
      <w:pPr>
        <w:pStyle w:val="BodyText"/>
        <w:spacing w:before="1"/>
        <w:ind w:left="557"/>
      </w:pPr>
      <w:r>
        <w:rPr/>
        <w:t>Graduate</w:t>
      </w:r>
      <w:r>
        <w:rPr>
          <w:spacing w:val="41"/>
        </w:rPr>
        <w:t> </w:t>
      </w:r>
      <w:r>
        <w:rPr/>
        <w:t>University,</w:t>
      </w:r>
      <w:r>
        <w:rPr>
          <w:spacing w:val="42"/>
        </w:rPr>
        <w:t> </w:t>
      </w:r>
      <w:r>
        <w:rPr/>
        <w:t>City,</w:t>
      </w:r>
      <w:r>
        <w:rPr>
          <w:spacing w:val="41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line="278" w:lineRule="auto" w:before="1"/>
        <w:ind w:left="557" w:right="31"/>
      </w:pPr>
      <w:r>
        <w:rPr>
          <w:w w:val="105"/>
        </w:rPr>
        <w:t>May 2008 | Bachelor of Science (B.S.) in Biology</w:t>
      </w:r>
    </w:p>
    <w:p>
      <w:pPr>
        <w:pStyle w:val="BodyText"/>
        <w:spacing w:before="106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28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(18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first/corresponding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author)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H-index: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22,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Citations: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3,800+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1"/>
        <w:ind w:left="725"/>
      </w:pPr>
      <w:r>
        <w:rPr>
          <w:color w:val="0C0C0C"/>
          <w:spacing w:val="-2"/>
        </w:rPr>
        <w:t>PATENTS</w:t>
      </w:r>
    </w:p>
    <w:p>
      <w:pPr>
        <w:pStyle w:val="BodyText"/>
        <w:spacing w:before="45"/>
        <w:rPr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397" w:hanging="298"/>
        <w:jc w:val="left"/>
        <w:rPr>
          <w:sz w:val="18"/>
        </w:rPr>
      </w:pPr>
      <w:r>
        <w:rPr>
          <w:w w:val="105"/>
          <w:sz w:val="18"/>
        </w:rPr>
        <w:t>Rodriguez, J., et al. "Therapeutic targets for neurodegenerative disease." US Patent Application 18/234,567 (2023)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41"/>
          <w:cols w:num="2" w:equalWidth="0">
            <w:col w:w="3341" w:space="881"/>
            <w:col w:w="755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895337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0688" id="docshape20" coordorigin="4200,0" coordsize="7719,16858" path="m11918,0l4200,0,4200,510,4200,1410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ind w:left="557"/>
      </w:pPr>
      <w:r>
        <w:rPr/>
        <w:t>State</w:t>
      </w:r>
      <w:r>
        <w:rPr>
          <w:spacing w:val="28"/>
        </w:rPr>
        <w:t> </w:t>
      </w:r>
      <w:r>
        <w:rPr/>
        <w:t>University,</w:t>
      </w:r>
      <w:r>
        <w:rPr>
          <w:spacing w:val="28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sectPr>
      <w:pgSz w:w="11920" w:h="16860"/>
      <w:pgMar w:top="0" w:bottom="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5"/>
      <w:ind w:left="87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2026-02-26T14:34:09Z</dcterms:created>
  <dcterms:modified xsi:type="dcterms:W3CDTF">2026-02-26T14:34:09Z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