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Dr.</w:t>
      </w:r>
      <w:r>
        <w:rPr>
          <w:b/>
          <w:color w:val="FFFFFF"/>
          <w:spacing w:val="5"/>
          <w:sz w:val="82"/>
        </w:rPr>
        <w:t> </w:t>
      </w:r>
      <w:r>
        <w:rPr>
          <w:b/>
          <w:color w:val="FFFFFF"/>
          <w:sz w:val="82"/>
        </w:rPr>
        <w:t>Priya</w:t>
      </w:r>
      <w:r>
        <w:rPr>
          <w:b/>
          <w:color w:val="FFFFFF"/>
          <w:spacing w:val="5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Sharma</w:t>
      </w:r>
    </w:p>
    <w:p>
      <w:pPr>
        <w:pStyle w:val="Heading2"/>
      </w:pPr>
      <w:r>
        <w:rPr>
          <w:color w:val="FFFFFF"/>
          <w:spacing w:val="-2"/>
          <w:w w:val="105"/>
        </w:rPr>
        <w:t>Microbiology</w:t>
      </w:r>
    </w:p>
    <w:p>
      <w:pPr>
        <w:spacing w:before="179"/>
        <w:ind w:left="448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Microbiologist</w:t>
      </w:r>
      <w:r>
        <w:rPr>
          <w:b/>
          <w:color w:val="FFFFFF"/>
          <w:spacing w:val="2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specializing</w:t>
      </w:r>
      <w:r>
        <w:rPr>
          <w:b/>
          <w:color w:val="FFFFFF"/>
          <w:spacing w:val="2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2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clinical</w:t>
      </w:r>
      <w:r>
        <w:rPr>
          <w:b/>
          <w:color w:val="FFFFFF"/>
          <w:spacing w:val="23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diagnostics</w:t>
      </w:r>
    </w:p>
    <w:p>
      <w:pPr>
        <w:spacing w:line="273" w:lineRule="auto" w:before="26"/>
        <w:ind w:left="448" w:right="249" w:firstLine="0"/>
        <w:jc w:val="left"/>
        <w:rPr>
          <w:sz w:val="16"/>
        </w:rPr>
      </w:pPr>
      <w:r>
        <w:rPr>
          <w:color w:val="FFFFFF"/>
          <w:w w:val="105"/>
          <w:sz w:val="16"/>
        </w:rPr>
        <w:t>Microbiologist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6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clinical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operations,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microbial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identification,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antimicrobial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resistance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research.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Expertise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quality control and high-throughput workflows.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425" w:right="283"/>
        </w:sectPr>
      </w:pPr>
    </w:p>
    <w:p>
      <w:pPr>
        <w:pStyle w:val="BodyText"/>
        <w:spacing w:before="229"/>
        <w:rPr>
          <w:sz w:val="28"/>
        </w:rPr>
      </w:pPr>
    </w:p>
    <w:p>
      <w:pPr>
        <w:pStyle w:val="Heading1"/>
      </w:pPr>
      <w:r>
        <w:rPr>
          <w:smallCaps/>
          <w:color w:val="F5F5F5"/>
          <w:spacing w:val="-7"/>
        </w:rPr>
        <w:t>Contact</w:t>
      </w:r>
    </w:p>
    <w:p>
      <w:pPr>
        <w:spacing w:before="101"/>
        <w:ind w:left="58" w:right="0" w:firstLine="0"/>
        <w:jc w:val="left"/>
        <w:rPr>
          <w:b/>
          <w:sz w:val="35"/>
        </w:rPr>
      </w:pPr>
      <w:r>
        <w:rPr/>
        <w:br w:type="column"/>
      </w:r>
      <w:r>
        <w:rPr>
          <w:b/>
          <w:smallCaps/>
          <w:color w:val="0C0C0C"/>
          <w:spacing w:val="-5"/>
          <w:sz w:val="35"/>
        </w:rPr>
        <w:t>Professional</w:t>
      </w:r>
      <w:r>
        <w:rPr>
          <w:b/>
          <w:smallCaps/>
          <w:color w:val="0C0C0C"/>
          <w:spacing w:val="-4"/>
          <w:sz w:val="35"/>
        </w:rPr>
        <w:t> </w:t>
      </w:r>
      <w:r>
        <w:rPr>
          <w:b/>
          <w:smallCaps/>
          <w:color w:val="0C0C0C"/>
          <w:spacing w:val="-2"/>
          <w:sz w:val="35"/>
        </w:rPr>
        <w:t>Experience</w:t>
      </w:r>
    </w:p>
    <w:p>
      <w:pPr>
        <w:pStyle w:val="BodyText"/>
        <w:spacing w:line="268" w:lineRule="auto" w:before="240"/>
        <w:ind w:left="170" w:right="1300"/>
      </w:pPr>
      <w:r>
        <w:rPr>
          <w:w w:val="105"/>
        </w:rPr>
        <w:t>Senior Clinical Microbiologist </w:t>
      </w:r>
      <w:r>
        <w:rPr>
          <w:w w:val="105"/>
          <w:position w:val="2"/>
        </w:rPr>
        <w:t>| </w:t>
      </w:r>
      <w:r>
        <w:rPr>
          <w:w w:val="105"/>
        </w:rPr>
        <w:t>University Medical Center, City, ST January 2021 – June 2019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780" w:bottom="280" w:left="425" w:right="283"/>
          <w:cols w:num="2" w:equalWidth="0">
            <w:col w:w="1446" w:space="2386"/>
            <w:col w:w="7380"/>
          </w:cols>
        </w:sectPr>
      </w:pPr>
    </w:p>
    <w:p>
      <w:pPr>
        <w:pStyle w:val="BodyText"/>
        <w:spacing w:before="53"/>
        <w:ind w:left="597"/>
      </w:pPr>
      <w:r>
        <w:rPr>
          <w:color w:val="424242"/>
        </w:rPr>
        <w:t>(555)</w:t>
      </w:r>
      <w:r>
        <w:rPr>
          <w:color w:val="424242"/>
          <w:spacing w:val="16"/>
        </w:rPr>
        <w:t> </w:t>
      </w:r>
      <w:r>
        <w:rPr>
          <w:color w:val="424242"/>
        </w:rPr>
        <w:t>345-</w:t>
      </w:r>
      <w:r>
        <w:rPr>
          <w:color w:val="424242"/>
          <w:spacing w:val="-4"/>
        </w:rPr>
        <w:t>6789</w:t>
      </w:r>
    </w:p>
    <w:p>
      <w:pPr>
        <w:pStyle w:val="BodyText"/>
        <w:spacing w:before="111"/>
      </w:pPr>
    </w:p>
    <w:p>
      <w:pPr>
        <w:pStyle w:val="BodyText"/>
        <w:ind w:left="597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BodyText"/>
        <w:spacing w:line="520" w:lineRule="atLeast" w:before="35"/>
        <w:ind w:left="597"/>
      </w:pPr>
      <w:r>
        <w:rPr>
          <w:color w:val="424242"/>
        </w:rPr>
        <w:t>LinkedIn </w:t>
      </w:r>
      <w:r>
        <w:rPr>
          <w:color w:val="424242"/>
          <w:position w:val="1"/>
          <w:sz w:val="16"/>
        </w:rPr>
        <w:t>| </w:t>
      </w:r>
      <w:r>
        <w:rPr>
          <w:color w:val="424242"/>
        </w:rPr>
        <w:t>Portfolio City, ST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189" w:lineRule="auto" w:before="107" w:after="0"/>
        <w:ind w:left="895" w:right="403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Oversee operations processing 15,000+ specimens monthly with 48-hour </w:t>
      </w:r>
      <w:r>
        <w:rPr>
          <w:spacing w:val="-2"/>
          <w:w w:val="105"/>
          <w:sz w:val="18"/>
        </w:rPr>
        <w:t>turnaround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01" w:lineRule="auto" w:before="98" w:after="0"/>
        <w:ind w:left="895" w:right="595" w:hanging="298"/>
        <w:jc w:val="left"/>
        <w:rPr>
          <w:sz w:val="18"/>
        </w:rPr>
      </w:pPr>
      <w:r>
        <w:rPr>
          <w:w w:val="105"/>
          <w:sz w:val="18"/>
        </w:rPr>
        <w:t>Implement MALDI-TOF system reducing identification time by 60% and improving accuracy to 98.5%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01" w:lineRule="auto" w:before="82" w:after="0"/>
        <w:ind w:left="895" w:right="329" w:hanging="298"/>
        <w:jc w:val="left"/>
        <w:rPr>
          <w:sz w:val="18"/>
        </w:rPr>
      </w:pPr>
      <w:r>
        <w:rPr>
          <w:w w:val="105"/>
          <w:sz w:val="18"/>
        </w:rPr>
        <w:t>Lead antimicrobial stewardship analysis tracking 5,000+ isolates annually, informing guidelines for 500+ beds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780" w:bottom="280" w:left="425" w:right="283"/>
          <w:cols w:num="2" w:equalWidth="0">
            <w:col w:w="2377" w:space="1195"/>
            <w:col w:w="7640"/>
          </w:cols>
        </w:sectPr>
      </w:pPr>
    </w:p>
    <w:p>
      <w:pPr>
        <w:pStyle w:val="BodyText"/>
        <w:spacing w:before="187"/>
        <w:rPr>
          <w:sz w:val="28"/>
        </w:rPr>
      </w:pPr>
    </w:p>
    <w:p>
      <w:pPr>
        <w:pStyle w:val="Heading1"/>
        <w:spacing w:line="207" w:lineRule="exact"/>
      </w:pPr>
      <w:r>
        <w:rPr>
          <w:smallCaps/>
          <w:color w:val="F5F5F5"/>
          <w:w w:val="95"/>
        </w:rPr>
        <w:t>Key</w:t>
      </w:r>
      <w:r>
        <w:rPr>
          <w:smallCaps/>
          <w:color w:val="F5F5F5"/>
          <w:spacing w:val="4"/>
        </w:rPr>
        <w:t> </w:t>
      </w:r>
      <w:r>
        <w:rPr>
          <w:smallCaps/>
          <w:color w:val="F5F5F5"/>
          <w:spacing w:val="-2"/>
          <w:w w:val="90"/>
        </w:rPr>
        <w:t>Skills</w:t>
      </w:r>
    </w:p>
    <w:p>
      <w:pPr>
        <w:pStyle w:val="BodyText"/>
        <w:spacing w:line="268" w:lineRule="auto" w:before="177"/>
        <w:ind w:left="58" w:right="2873"/>
      </w:pPr>
      <w:r>
        <w:rPr/>
        <w:br w:type="column"/>
      </w:r>
      <w:r>
        <w:rPr>
          <w:w w:val="105"/>
        </w:rPr>
        <w:t>Clinical Microbiologist </w:t>
      </w:r>
      <w:r>
        <w:rPr>
          <w:w w:val="105"/>
          <w:position w:val="2"/>
        </w:rPr>
        <w:t>| </w:t>
      </w:r>
      <w:r>
        <w:rPr>
          <w:w w:val="105"/>
        </w:rPr>
        <w:t>Regional Hospital, City, ST June 2018 – December 2020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780" w:bottom="280" w:left="425" w:right="283"/>
          <w:cols w:num="2" w:equalWidth="0">
            <w:col w:w="1730" w:space="2214"/>
            <w:col w:w="7268"/>
          </w:cols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133"/>
        <w:rPr>
          <w:sz w:val="16"/>
        </w:rPr>
      </w:pP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7" w:val="left" w:leader="none"/>
        </w:tabs>
        <w:spacing w:line="182" w:lineRule="auto" w:before="0" w:after="0"/>
        <w:ind w:left="467" w:right="38" w:hanging="298"/>
        <w:jc w:val="left"/>
        <w:rPr>
          <w:sz w:val="16"/>
        </w:rPr>
      </w:pPr>
      <w:r>
        <w:rPr>
          <w:color w:val="424242"/>
          <w:w w:val="105"/>
          <w:sz w:val="16"/>
        </w:rPr>
        <w:t>Clinical microbiology and bacterial identification (MALDI-TOF)</w:t>
      </w: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7" w:val="left" w:leader="none"/>
        </w:tabs>
        <w:spacing w:line="182" w:lineRule="auto" w:before="99" w:after="0"/>
        <w:ind w:left="467" w:right="71" w:hanging="298"/>
        <w:jc w:val="left"/>
        <w:rPr>
          <w:sz w:val="16"/>
        </w:rPr>
      </w:pPr>
      <w:r>
        <w:rPr>
          <w:color w:val="424242"/>
          <w:w w:val="105"/>
          <w:sz w:val="16"/>
        </w:rPr>
        <w:t>Antimicrobial susceptibility testing and resistance patterns</w:t>
      </w: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7" w:val="left" w:leader="none"/>
        </w:tabs>
        <w:spacing w:line="182" w:lineRule="auto" w:before="99" w:after="0"/>
        <w:ind w:left="467" w:right="129" w:hanging="298"/>
        <w:jc w:val="left"/>
        <w:rPr>
          <w:sz w:val="16"/>
        </w:rPr>
      </w:pPr>
      <w:r>
        <w:rPr>
          <w:color w:val="424242"/>
          <w:w w:val="105"/>
          <w:sz w:val="16"/>
        </w:rPr>
        <w:t>Automated microbiology systems (BD BACTEC, Vitek 2)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24" w:lineRule="exact" w:before="40" w:after="0"/>
        <w:ind w:left="466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Quality</w:t>
      </w:r>
      <w:r>
        <w:rPr>
          <w:color w:val="424242"/>
          <w:spacing w:val="16"/>
          <w:w w:val="105"/>
          <w:sz w:val="16"/>
        </w:rPr>
        <w:t> </w:t>
      </w:r>
      <w:r>
        <w:rPr>
          <w:color w:val="424242"/>
          <w:w w:val="105"/>
          <w:sz w:val="16"/>
        </w:rPr>
        <w:t>assurance</w:t>
      </w:r>
      <w:r>
        <w:rPr>
          <w:color w:val="424242"/>
          <w:spacing w:val="17"/>
          <w:w w:val="105"/>
          <w:sz w:val="16"/>
        </w:rPr>
        <w:t> </w:t>
      </w:r>
      <w:r>
        <w:rPr>
          <w:color w:val="424242"/>
          <w:w w:val="105"/>
          <w:sz w:val="16"/>
        </w:rPr>
        <w:t>and</w:t>
      </w:r>
      <w:r>
        <w:rPr>
          <w:color w:val="424242"/>
          <w:spacing w:val="17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regulatory</w:t>
      </w:r>
    </w:p>
    <w:p>
      <w:pPr>
        <w:spacing w:line="4" w:lineRule="exact" w:before="0"/>
        <w:ind w:left="467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compliance</w:t>
      </w:r>
      <w:r>
        <w:rPr>
          <w:color w:val="424242"/>
          <w:spacing w:val="8"/>
          <w:w w:val="105"/>
          <w:sz w:val="16"/>
        </w:rPr>
        <w:t> </w:t>
      </w:r>
      <w:r>
        <w:rPr>
          <w:color w:val="424242"/>
          <w:w w:val="105"/>
          <w:sz w:val="16"/>
        </w:rPr>
        <w:t>(CAP,</w:t>
      </w:r>
      <w:r>
        <w:rPr>
          <w:color w:val="424242"/>
          <w:spacing w:val="8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CLIA)</w:t>
      </w:r>
    </w:p>
    <w:p>
      <w:pPr>
        <w:pStyle w:val="ListParagraph"/>
        <w:numPr>
          <w:ilvl w:val="1"/>
          <w:numId w:val="2"/>
        </w:numPr>
        <w:tabs>
          <w:tab w:pos="632" w:val="left" w:leader="none"/>
          <w:tab w:pos="634" w:val="left" w:leader="none"/>
        </w:tabs>
        <w:spacing w:line="201" w:lineRule="auto" w:before="39" w:after="0"/>
        <w:ind w:left="634" w:right="888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Performed identification and susceptibility testing on 8,000+ annual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specimens</w:t>
      </w:r>
    </w:p>
    <w:p>
      <w:pPr>
        <w:pStyle w:val="ListParagraph"/>
        <w:numPr>
          <w:ilvl w:val="1"/>
          <w:numId w:val="2"/>
        </w:numPr>
        <w:tabs>
          <w:tab w:pos="633" w:val="left" w:leader="none"/>
        </w:tabs>
        <w:spacing w:line="343" w:lineRule="exact" w:before="43" w:after="0"/>
        <w:ind w:left="633" w:right="0" w:hanging="296"/>
        <w:jc w:val="left"/>
        <w:rPr>
          <w:sz w:val="18"/>
        </w:rPr>
      </w:pPr>
      <w:r>
        <w:rPr>
          <w:w w:val="105"/>
          <w:sz w:val="18"/>
        </w:rPr>
        <w:t>Investigated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15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hospital-acquired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infection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outbreaks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using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molecular</w:t>
      </w:r>
      <w:r>
        <w:rPr>
          <w:spacing w:val="29"/>
          <w:w w:val="105"/>
          <w:sz w:val="18"/>
        </w:rPr>
        <w:t> </w:t>
      </w:r>
      <w:r>
        <w:rPr>
          <w:spacing w:val="-2"/>
          <w:w w:val="105"/>
          <w:sz w:val="18"/>
        </w:rPr>
        <w:t>typing</w:t>
      </w:r>
    </w:p>
    <w:p>
      <w:pPr>
        <w:pStyle w:val="ListParagraph"/>
        <w:numPr>
          <w:ilvl w:val="1"/>
          <w:numId w:val="2"/>
        </w:numPr>
        <w:tabs>
          <w:tab w:pos="632" w:val="left" w:leader="none"/>
          <w:tab w:pos="634" w:val="left" w:leader="none"/>
        </w:tabs>
        <w:spacing w:line="201" w:lineRule="auto" w:before="25" w:after="0"/>
        <w:ind w:left="634" w:right="38" w:hanging="298"/>
        <w:jc w:val="left"/>
        <w:rPr>
          <w:sz w:val="18"/>
        </w:rPr>
      </w:pPr>
      <w:r>
        <w:rPr>
          <w:w w:val="105"/>
          <w:sz w:val="18"/>
        </w:rPr>
        <w:t>Implemented MRSA rapid detection reducing identification from 72 hours to 4</w:t>
      </w:r>
      <w:r>
        <w:rPr>
          <w:spacing w:val="40"/>
          <w:w w:val="105"/>
          <w:sz w:val="18"/>
        </w:rPr>
        <w:t> </w:t>
      </w:r>
      <w:r>
        <w:rPr>
          <w:spacing w:val="-4"/>
          <w:w w:val="105"/>
          <w:sz w:val="18"/>
        </w:rPr>
        <w:t>hours</w:t>
      </w:r>
    </w:p>
    <w:p>
      <w:pPr>
        <w:pStyle w:val="BodyText"/>
        <w:spacing w:before="137"/>
      </w:pPr>
    </w:p>
    <w:p>
      <w:pPr>
        <w:pStyle w:val="BodyText"/>
        <w:spacing w:line="268" w:lineRule="auto"/>
        <w:ind w:left="170" w:right="1300"/>
      </w:pPr>
      <w:r>
        <w:rPr>
          <w:w w:val="105"/>
        </w:rPr>
        <w:t>Microbiology Research</w:t>
      </w:r>
      <w:r>
        <w:rPr>
          <w:spacing w:val="-2"/>
          <w:w w:val="105"/>
        </w:rPr>
        <w:t> </w:t>
      </w:r>
      <w:r>
        <w:rPr>
          <w:w w:val="105"/>
        </w:rPr>
        <w:t>Assistant </w:t>
      </w:r>
      <w:r>
        <w:rPr>
          <w:w w:val="105"/>
          <w:position w:val="2"/>
        </w:rPr>
        <w:t>| </w:t>
      </w:r>
      <w:r>
        <w:rPr>
          <w:w w:val="105"/>
        </w:rPr>
        <w:t>Graduate University, City, ST August 2015 – May 2018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780" w:bottom="280" w:left="425" w:right="283"/>
          <w:cols w:num="2" w:equalWidth="0">
            <w:col w:w="3152" w:space="680"/>
            <w:col w:w="7380"/>
          </w:cols>
        </w:sectPr>
      </w:pPr>
    </w:p>
    <w:p>
      <w:pPr>
        <w:pStyle w:val="BodyText"/>
        <w:spacing w:before="73"/>
        <w:rPr>
          <w:sz w:val="16"/>
        </w:rPr>
      </w:pP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7" w:val="left" w:leader="none"/>
        </w:tabs>
        <w:spacing w:line="182" w:lineRule="auto" w:before="0" w:after="0"/>
        <w:ind w:left="467" w:right="271" w:hanging="298"/>
        <w:jc w:val="left"/>
        <w:rPr>
          <w:sz w:val="16"/>
        </w:rPr>
      </w:pPr>
      <w:r>
        <w:rPr>
          <w:color w:val="424242"/>
          <w:w w:val="105"/>
          <w:sz w:val="16"/>
        </w:rPr>
        <w:t>Molecular diagnostics (PCR, </w:t>
      </w:r>
      <w:r>
        <w:rPr>
          <w:color w:val="424242"/>
          <w:spacing w:val="-2"/>
          <w:w w:val="105"/>
          <w:sz w:val="16"/>
        </w:rPr>
        <w:t>sequencing)</w:t>
      </w: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7" w:val="left" w:leader="none"/>
        </w:tabs>
        <w:spacing w:line="182" w:lineRule="auto" w:before="99" w:after="0"/>
        <w:ind w:left="467" w:right="38" w:hanging="298"/>
        <w:jc w:val="left"/>
        <w:rPr>
          <w:sz w:val="16"/>
        </w:rPr>
      </w:pPr>
      <w:r>
        <w:rPr>
          <w:color w:val="424242"/>
          <w:w w:val="105"/>
          <w:sz w:val="16"/>
        </w:rPr>
        <w:t>Laboratory information systems and data management</w:t>
      </w: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7" w:val="left" w:leader="none"/>
        </w:tabs>
        <w:spacing w:line="182" w:lineRule="auto" w:before="100" w:after="0"/>
        <w:ind w:left="467" w:right="242" w:hanging="298"/>
        <w:jc w:val="left"/>
        <w:rPr>
          <w:sz w:val="16"/>
        </w:rPr>
      </w:pPr>
      <w:r>
        <w:rPr>
          <w:color w:val="424242"/>
          <w:w w:val="105"/>
          <w:sz w:val="16"/>
        </w:rPr>
        <w:t>Infection control and hospital </w:t>
      </w:r>
      <w:r>
        <w:rPr>
          <w:color w:val="424242"/>
          <w:spacing w:val="-2"/>
          <w:w w:val="105"/>
          <w:sz w:val="16"/>
        </w:rPr>
        <w:t>epidemiology</w:t>
      </w:r>
    </w:p>
    <w:p>
      <w:pPr>
        <w:pStyle w:val="ListParagraph"/>
        <w:numPr>
          <w:ilvl w:val="1"/>
          <w:numId w:val="2"/>
        </w:numPr>
        <w:tabs>
          <w:tab w:pos="744" w:val="left" w:leader="none"/>
          <w:tab w:pos="746" w:val="left" w:leader="none"/>
        </w:tabs>
        <w:spacing w:line="189" w:lineRule="auto" w:before="47" w:after="0"/>
        <w:ind w:left="746" w:right="234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Conducted research on antibiotic resistance mechanisms, contributing to 5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peer-reviewed publications</w:t>
      </w:r>
    </w:p>
    <w:p>
      <w:pPr>
        <w:pStyle w:val="ListParagraph"/>
        <w:numPr>
          <w:ilvl w:val="1"/>
          <w:numId w:val="2"/>
        </w:numPr>
        <w:tabs>
          <w:tab w:pos="744" w:val="left" w:leader="none"/>
          <w:tab w:pos="746" w:val="left" w:leader="none"/>
        </w:tabs>
        <w:spacing w:line="201" w:lineRule="auto" w:before="98" w:after="0"/>
        <w:ind w:left="746" w:right="303" w:hanging="298"/>
        <w:jc w:val="left"/>
        <w:rPr>
          <w:sz w:val="18"/>
        </w:rPr>
      </w:pPr>
      <w:r>
        <w:rPr>
          <w:w w:val="105"/>
          <w:sz w:val="18"/>
        </w:rPr>
        <w:t>Performed whole genome sequencing and bioinformatics analysis of 100+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bacterial isolates</w:t>
      </w:r>
    </w:p>
    <w:p>
      <w:pPr>
        <w:pStyle w:val="BodyText"/>
        <w:spacing w:before="94"/>
      </w:pPr>
    </w:p>
    <w:p>
      <w:pPr>
        <w:pStyle w:val="Heading1"/>
        <w:ind w:left="170"/>
      </w:pPr>
      <w:r>
        <w:rPr>
          <w:smallCaps/>
          <w:color w:val="0C0C0C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780" w:bottom="280" w:left="425" w:right="283"/>
          <w:cols w:num="2" w:equalWidth="0">
            <w:col w:w="2940" w:space="780"/>
            <w:col w:w="7492"/>
          </w:cols>
        </w:sectPr>
      </w:pPr>
    </w:p>
    <w:p>
      <w:pPr>
        <w:pStyle w:val="BodyText"/>
        <w:spacing w:before="85"/>
        <w:rPr>
          <w:b/>
          <w:sz w:val="28"/>
        </w:rPr>
      </w:pPr>
    </w:p>
    <w:p>
      <w:pPr>
        <w:spacing w:before="0"/>
        <w:ind w:left="58" w:right="0" w:firstLine="0"/>
        <w:jc w:val="left"/>
        <w:rPr>
          <w:b/>
          <w:sz w:val="35"/>
        </w:rPr>
      </w:pPr>
      <w:r>
        <w:rPr>
          <w:b/>
          <w:smallCaps/>
          <w:color w:val="F5F5F5"/>
          <w:spacing w:val="-2"/>
          <w:sz w:val="35"/>
        </w:rPr>
        <w:t>Education</w:t>
      </w:r>
    </w:p>
    <w:p>
      <w:pPr>
        <w:pStyle w:val="ListParagraph"/>
        <w:numPr>
          <w:ilvl w:val="0"/>
          <w:numId w:val="3"/>
        </w:numPr>
        <w:tabs>
          <w:tab w:pos="354" w:val="left" w:leader="none"/>
        </w:tabs>
        <w:spacing w:line="336" w:lineRule="exact" w:before="165" w:after="0"/>
        <w:ind w:left="354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ASCP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Board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Certification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Microbiology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(MB),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September</w:t>
      </w:r>
      <w:r>
        <w:rPr>
          <w:spacing w:val="18"/>
          <w:w w:val="105"/>
          <w:sz w:val="18"/>
        </w:rPr>
        <w:t> </w:t>
      </w:r>
      <w:r>
        <w:rPr>
          <w:spacing w:val="-4"/>
          <w:w w:val="105"/>
          <w:sz w:val="18"/>
        </w:rPr>
        <w:t>2018</w:t>
      </w:r>
    </w:p>
    <w:p>
      <w:pPr>
        <w:pStyle w:val="ListParagraph"/>
        <w:numPr>
          <w:ilvl w:val="0"/>
          <w:numId w:val="3"/>
        </w:numPr>
        <w:tabs>
          <w:tab w:pos="354" w:val="left" w:leader="none"/>
        </w:tabs>
        <w:spacing w:line="336" w:lineRule="exact" w:before="0" w:after="0"/>
        <w:ind w:left="354" w:right="0" w:hanging="296"/>
        <w:jc w:val="left"/>
        <w:rPr>
          <w:sz w:val="18"/>
        </w:rPr>
      </w:pPr>
      <w:r>
        <w:rPr>
          <w:sz w:val="18"/>
        </w:rPr>
        <w:t>OSHA</w:t>
      </w:r>
      <w:r>
        <w:rPr>
          <w:spacing w:val="30"/>
          <w:sz w:val="18"/>
        </w:rPr>
        <w:t> </w:t>
      </w:r>
      <w:r>
        <w:rPr>
          <w:sz w:val="18"/>
        </w:rPr>
        <w:t>40-Hour</w:t>
      </w:r>
      <w:r>
        <w:rPr>
          <w:spacing w:val="31"/>
          <w:sz w:val="18"/>
        </w:rPr>
        <w:t> </w:t>
      </w:r>
      <w:r>
        <w:rPr>
          <w:sz w:val="18"/>
        </w:rPr>
        <w:t>HAZWOPER,</w:t>
      </w:r>
      <w:r>
        <w:rPr>
          <w:spacing w:val="30"/>
          <w:sz w:val="18"/>
        </w:rPr>
        <w:t> </w:t>
      </w:r>
      <w:r>
        <w:rPr>
          <w:sz w:val="18"/>
        </w:rPr>
        <w:t>June</w:t>
      </w:r>
      <w:r>
        <w:rPr>
          <w:spacing w:val="31"/>
          <w:sz w:val="18"/>
        </w:rPr>
        <w:t> </w:t>
      </w:r>
      <w:r>
        <w:rPr>
          <w:spacing w:val="-4"/>
          <w:sz w:val="18"/>
        </w:rPr>
        <w:t>2019</w:t>
      </w:r>
    </w:p>
    <w:p>
      <w:pPr>
        <w:pStyle w:val="ListParagraph"/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780" w:bottom="280" w:left="425" w:right="283"/>
          <w:cols w:num="2" w:equalWidth="0">
            <w:col w:w="1768" w:space="2175"/>
            <w:col w:w="7269"/>
          </w:cols>
        </w:sectPr>
      </w:pPr>
    </w:p>
    <w:p>
      <w:pPr>
        <w:pStyle w:val="BodyText"/>
        <w:spacing w:before="3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780" w:bottom="280" w:left="425" w:right="283"/>
        </w:sectPr>
      </w:pPr>
    </w:p>
    <w:p>
      <w:pPr>
        <w:spacing w:line="273" w:lineRule="auto" w:before="174"/>
        <w:ind w:left="170" w:right="493" w:firstLine="0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187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10382248"/>
                            <a:ext cx="22669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323850">
                                <a:moveTo>
                                  <a:pt x="0" y="323849"/>
                                </a:moveTo>
                                <a:lnTo>
                                  <a:pt x="2266949" y="323849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A3B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3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33650">
                                <a:moveTo>
                                  <a:pt x="7568183" y="2533649"/>
                                </a:moveTo>
                                <a:lnTo>
                                  <a:pt x="0" y="25336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33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533649"/>
                            <a:ext cx="2266950" cy="784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7848600">
                                <a:moveTo>
                                  <a:pt x="2266950" y="5753100"/>
                                </a:moveTo>
                                <a:lnTo>
                                  <a:pt x="0" y="5753100"/>
                                </a:lnTo>
                                <a:lnTo>
                                  <a:pt x="0" y="7848600"/>
                                </a:lnTo>
                                <a:lnTo>
                                  <a:pt x="2266950" y="7848600"/>
                                </a:lnTo>
                                <a:lnTo>
                                  <a:pt x="2266950" y="5753100"/>
                                </a:lnTo>
                                <a:close/>
                              </a:path>
                              <a:path w="2266950" h="7848600">
                                <a:moveTo>
                                  <a:pt x="2266950" y="2771775"/>
                                </a:moveTo>
                                <a:lnTo>
                                  <a:pt x="0" y="2771775"/>
                                </a:lnTo>
                                <a:lnTo>
                                  <a:pt x="0" y="5314950"/>
                                </a:lnTo>
                                <a:lnTo>
                                  <a:pt x="2266950" y="5314950"/>
                                </a:lnTo>
                                <a:lnTo>
                                  <a:pt x="2266950" y="2771775"/>
                                </a:lnTo>
                                <a:close/>
                              </a:path>
                              <a:path w="2266950" h="7848600">
                                <a:moveTo>
                                  <a:pt x="2266950" y="838200"/>
                                </a:moveTo>
                                <a:lnTo>
                                  <a:pt x="0" y="838200"/>
                                </a:lnTo>
                                <a:lnTo>
                                  <a:pt x="0" y="2343150"/>
                                </a:lnTo>
                                <a:lnTo>
                                  <a:pt x="2266950" y="2343150"/>
                                </a:lnTo>
                                <a:lnTo>
                                  <a:pt x="2266950" y="838200"/>
                                </a:lnTo>
                                <a:close/>
                              </a:path>
                              <a:path w="2266950" h="7848600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A3B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93369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A3B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368039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49567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81952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419124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51484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876799"/>
                            <a:ext cx="25527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28625">
                                <a:moveTo>
                                  <a:pt x="25526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A3B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30047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784859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A3B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8281415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97760" id="docshapegroup1" coordorigin="0,0" coordsize="11919,16860">
                <v:rect style="position:absolute;left:255;top:16350;width:3570;height:510" id="docshape2" filled="true" fillcolor="#73a3be" stroked="false">
                  <v:fill opacity="32899f" type="solid"/>
                </v:rect>
                <v:rect style="position:absolute;left:0;top:0;width:11919;height:3990" id="docshape3" filled="true" fillcolor="#424242" stroked="false">
                  <v:fill type="solid"/>
                </v:rect>
                <v:shape style="position:absolute;left:254;top:3990;width:3570;height:12360" id="docshape4" coordorigin="255,3990" coordsize="3570,12360" path="m3825,13050l255,13050,255,16350,3825,16350,3825,13050xm3825,8355l255,8355,255,12360,3825,12360,3825,8355xm3825,5310l255,5310,255,7680,3825,7680,3825,5310xm3825,3990l255,3990,255,4620,3825,4620,3825,3990xe" filled="true" fillcolor="#73a3be" stroked="false">
                  <v:path arrowok="t"/>
                  <v:fill opacity="32899f" type="solid"/>
                </v:shape>
                <v:rect style="position:absolute;left:0;top:4620;width:4020;height:690" id="docshape5" filled="true" fillcolor="#73a3be" stroked="false">
                  <v:fill type="solid"/>
                </v:rect>
                <v:shape style="position:absolute;left:3825;top:5304;width:197;height:404" type="#_x0000_t75" id="docshape6" stroked="false">
                  <v:imagedata r:id="rId6" o:title=""/>
                </v:shape>
                <v:shape style="position:absolute;left:600;top:5505;width:255;height:261" type="#_x0000_t75" id="docshape7" stroked="false">
                  <v:imagedata r:id="rId7" o:title=""/>
                </v:shape>
                <v:shape style="position:absolute;left:600;top:6015;width:255;height:300" type="#_x0000_t75" id="docshape8" stroked="false">
                  <v:imagedata r:id="rId8" o:title=""/>
                </v:shape>
                <v:shape style="position:absolute;left:600;top:6600;width:256;height:226" type="#_x0000_t75" id="docshape9" stroked="false">
                  <v:imagedata r:id="rId9" o:title=""/>
                </v:shape>
                <v:shape style="position:absolute;left:600;top:7110;width:255;height:263" type="#_x0000_t75" id="docshape10" stroked="false">
                  <v:imagedata r:id="rId10" o:title=""/>
                </v:shape>
                <v:rect style="position:absolute;left:0;top:7680;width:4020;height:675" id="docshape11" filled="true" fillcolor="#73a3be" stroked="false">
                  <v:fill type="solid"/>
                </v:rect>
                <v:shape style="position:absolute;left:3825;top:8347;width:197;height:404" type="#_x0000_t75" id="docshape12" stroked="false">
                  <v:imagedata r:id="rId11" o:title=""/>
                </v:shape>
                <v:rect style="position:absolute;left:0;top:12360;width:4020;height:690" id="docshape13" filled="true" fillcolor="#73a3be" stroked="false">
                  <v:fill type="solid"/>
                </v:rect>
                <v:shape style="position:absolute;left:3825;top:13041;width:197;height:404" type="#_x0000_t75" id="docshape14" stroked="false">
                  <v:imagedata r:id="rId12" o:title="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6"/>
        </w:rPr>
        <w:t>Ph.D. in Microbiology Graduate University, City, ST May 2017</w:t>
      </w:r>
    </w:p>
    <w:p>
      <w:pPr>
        <w:pStyle w:val="BodyText"/>
        <w:spacing w:before="42"/>
        <w:rPr>
          <w:sz w:val="16"/>
        </w:rPr>
      </w:pPr>
    </w:p>
    <w:p>
      <w:pPr>
        <w:spacing w:line="273" w:lineRule="auto" w:before="0"/>
        <w:ind w:left="467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Dissertation: "Mechanisms of Antibiotic Resistance in Clinical </w:t>
      </w:r>
      <w:r>
        <w:rPr>
          <w:color w:val="424242"/>
          <w:spacing w:val="-2"/>
          <w:w w:val="105"/>
          <w:sz w:val="16"/>
        </w:rPr>
        <w:t>Isolates"</w:t>
      </w:r>
    </w:p>
    <w:p>
      <w:pPr>
        <w:pStyle w:val="BodyText"/>
        <w:spacing w:before="102"/>
        <w:rPr>
          <w:sz w:val="16"/>
        </w:rPr>
      </w:pPr>
    </w:p>
    <w:p>
      <w:pPr>
        <w:spacing w:line="273" w:lineRule="auto" w:before="0"/>
        <w:ind w:left="170" w:right="493" w:firstLine="0"/>
        <w:jc w:val="left"/>
        <w:rPr>
          <w:sz w:val="16"/>
        </w:rPr>
      </w:pPr>
      <w:r>
        <w:rPr>
          <w:color w:val="424242"/>
          <w:w w:val="105"/>
          <w:sz w:val="16"/>
        </w:rPr>
        <w:t>Bachelor of Science (B.S.) in </w:t>
      </w:r>
      <w:r>
        <w:rPr>
          <w:color w:val="424242"/>
          <w:spacing w:val="-2"/>
          <w:w w:val="105"/>
          <w:sz w:val="16"/>
        </w:rPr>
        <w:t>Microbiology</w:t>
      </w:r>
    </w:p>
    <w:p>
      <w:pPr>
        <w:pStyle w:val="Heading1"/>
        <w:spacing w:before="101"/>
        <w:ind w:left="170"/>
      </w:pPr>
      <w:r>
        <w:rPr>
          <w:b w:val="0"/>
        </w:rPr>
        <w:br w:type="column"/>
      </w:r>
      <w:r>
        <w:rPr>
          <w:smallCaps/>
          <w:color w:val="0C0C0C"/>
          <w:spacing w:val="-2"/>
        </w:rPr>
        <w:t>Publications</w:t>
      </w:r>
    </w:p>
    <w:p>
      <w:pPr>
        <w:pStyle w:val="ListParagraph"/>
        <w:numPr>
          <w:ilvl w:val="1"/>
          <w:numId w:val="3"/>
        </w:numPr>
        <w:tabs>
          <w:tab w:pos="744" w:val="left" w:leader="none"/>
          <w:tab w:pos="746" w:val="left" w:leader="none"/>
        </w:tabs>
        <w:spacing w:line="189" w:lineRule="auto" w:before="216" w:after="0"/>
        <w:ind w:left="746" w:right="548" w:hanging="298"/>
        <w:jc w:val="left"/>
        <w:rPr>
          <w:sz w:val="18"/>
        </w:rPr>
      </w:pPr>
      <w:r>
        <w:rPr>
          <w:w w:val="105"/>
          <w:sz w:val="18"/>
        </w:rPr>
        <w:t>Sharma, P., et al. (2023). "Antimicrobial resistance patterns in hospital-acquired infections." </w:t>
      </w:r>
      <w:r>
        <w:rPr>
          <w:i/>
          <w:w w:val="105"/>
          <w:sz w:val="18"/>
        </w:rPr>
        <w:t>Journal of Clinical Microbiology</w:t>
      </w:r>
      <w:r>
        <w:rPr>
          <w:w w:val="105"/>
          <w:sz w:val="18"/>
        </w:rPr>
        <w:t>, 61(4), e00234-23.</w:t>
      </w:r>
    </w:p>
    <w:p>
      <w:pPr>
        <w:pStyle w:val="ListParagraph"/>
        <w:numPr>
          <w:ilvl w:val="1"/>
          <w:numId w:val="3"/>
        </w:numPr>
        <w:tabs>
          <w:tab w:pos="744" w:val="left" w:leader="none"/>
          <w:tab w:pos="746" w:val="left" w:leader="none"/>
        </w:tabs>
        <w:spacing w:line="189" w:lineRule="auto" w:before="110" w:after="0"/>
        <w:ind w:left="746" w:right="216" w:hanging="298"/>
        <w:jc w:val="left"/>
        <w:rPr>
          <w:sz w:val="18"/>
        </w:rPr>
      </w:pPr>
      <w:r>
        <w:rPr>
          <w:w w:val="105"/>
          <w:sz w:val="18"/>
        </w:rPr>
        <w:t>8 additional peer-reviewed publications on antibiotic resistance and clinical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microbiology</w:t>
      </w:r>
    </w:p>
    <w:p>
      <w:pPr>
        <w:pStyle w:val="ListParagraph"/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780" w:bottom="280" w:left="425" w:right="283"/>
          <w:cols w:num="2" w:equalWidth="0">
            <w:col w:w="2931" w:space="789"/>
            <w:col w:w="7492"/>
          </w:cols>
        </w:sectPr>
      </w:pPr>
    </w:p>
    <w:p>
      <w:pPr>
        <w:pStyle w:val="BodyTex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192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28875" cy="10706100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2428875" cy="10706100"/>
                          <a:chExt cx="2428875" cy="1070610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161924" y="0"/>
                            <a:ext cx="22669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10706100">
                                <a:moveTo>
                                  <a:pt x="22669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266949" y="0"/>
                                </a:lnTo>
                                <a:lnTo>
                                  <a:pt x="22669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A3B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323849"/>
                            <a:ext cx="24288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28875" h="428625">
                                <a:moveTo>
                                  <a:pt x="2428874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2428874" y="0"/>
                                </a:lnTo>
                                <a:lnTo>
                                  <a:pt x="2428874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61924" y="323849"/>
                            <a:ext cx="226695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428625">
                                <a:moveTo>
                                  <a:pt x="226694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2266949" y="0"/>
                                </a:lnTo>
                                <a:lnTo>
                                  <a:pt x="226694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A3B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191.25pt;height:843pt;mso-position-horizontal-relative:page;mso-position-vertical-relative:page;z-index:-15797248" id="docshapegroup15" coordorigin="0,0" coordsize="3825,16860">
                <v:rect style="position:absolute;left:255;top:0;width:3570;height:16860" id="docshape16" filled="true" fillcolor="#73a3be" stroked="false">
                  <v:fill opacity="32899f" type="solid"/>
                </v:rect>
                <v:rect style="position:absolute;left:0;top:510;width:3825;height:675" id="docshape17" filled="true" fillcolor="#ffffff" stroked="false">
                  <v:fill type="solid"/>
                </v:rect>
                <v:rect style="position:absolute;left:255;top:510;width:3570;height:675" id="docshape18" filled="true" fillcolor="#73a3be" stroked="false">
                  <v:fill opacity="32899f"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before="124"/>
        <w:rPr>
          <w:sz w:val="16"/>
        </w:rPr>
      </w:pPr>
    </w:p>
    <w:p>
      <w:pPr>
        <w:spacing w:line="273" w:lineRule="auto" w:before="0"/>
        <w:ind w:left="170" w:right="10147" w:firstLine="0"/>
        <w:jc w:val="left"/>
        <w:rPr>
          <w:sz w:val="16"/>
        </w:rPr>
      </w:pPr>
      <w:r>
        <w:rPr>
          <w:color w:val="424242"/>
          <w:w w:val="105"/>
          <w:sz w:val="16"/>
        </w:rPr>
        <w:t>City, ST May</w:t>
      </w:r>
      <w:r>
        <w:rPr>
          <w:color w:val="424242"/>
          <w:spacing w:val="-12"/>
          <w:w w:val="105"/>
          <w:sz w:val="16"/>
        </w:rPr>
        <w:t> </w:t>
      </w:r>
      <w:r>
        <w:rPr>
          <w:color w:val="424242"/>
          <w:w w:val="105"/>
          <w:sz w:val="16"/>
        </w:rPr>
        <w:t>2013</w:t>
      </w:r>
    </w:p>
    <w:sectPr>
      <w:pgSz w:w="11920" w:h="16860"/>
      <w:pgMar w:top="0" w:bottom="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•"/>
      <w:lvlJc w:val="left"/>
      <w:pPr>
        <w:ind w:left="3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6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19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1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64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36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09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16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467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3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4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6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4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32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9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2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9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4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1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91" w:hanging="298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9"/>
      <w:ind w:left="448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67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2026-02-26T14:25:25Z</dcterms:created>
  <dcterms:modified xsi:type="dcterms:W3CDTF">2026-02-26T14:25:25Z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2026-02-26T00:00:00Z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2026-02-26T00:00:00Z</vt:filetime>
  </property>
  <property fmtid="{D5CDD505-2E9C-101B-9397-08002B2CF9AE}" pid="5" name="Producer">
    <vt:lpwstr>pdf-merger-js</vt:lpwstr>
  </property>
</Properties>
</file>