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70"/>
        </w:rPr>
      </w:pPr>
    </w:p>
    <w:p>
      <w:pPr>
        <w:pStyle w:val="Heading1"/>
      </w:pPr>
      <w:r>
        <w:rPr>
          <w:color w:val="4D09A2"/>
        </w:rPr>
        <w:t>Olivia</w:t>
      </w:r>
      <w:r>
        <w:rPr>
          <w:color w:val="4D09A2"/>
          <w:spacing w:val="-4"/>
        </w:rPr>
        <w:t> </w:t>
      </w:r>
      <w:r>
        <w:rPr>
          <w:color w:val="4D09A2"/>
          <w:spacing w:val="-2"/>
        </w:rPr>
        <w:t>Martinez</w:t>
      </w: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6598" w:right="0" w:firstLine="0"/>
        <w:jc w:val="left"/>
        <w:rPr>
          <w:sz w:val="22"/>
        </w:rPr>
      </w:pPr>
      <w:r>
        <w:rPr>
          <w:color w:val="4D09A2"/>
          <w:sz w:val="22"/>
        </w:rPr>
        <w:t>Nurse</w:t>
      </w:r>
      <w:r>
        <w:rPr>
          <w:color w:val="4D09A2"/>
          <w:spacing w:val="2"/>
          <w:sz w:val="22"/>
        </w:rPr>
        <w:t> </w:t>
      </w:r>
      <w:r>
        <w:rPr>
          <w:color w:val="4D09A2"/>
          <w:sz w:val="22"/>
        </w:rPr>
        <w:t>Case</w:t>
      </w:r>
      <w:r>
        <w:rPr>
          <w:color w:val="4D09A2"/>
          <w:spacing w:val="2"/>
          <w:sz w:val="22"/>
        </w:rPr>
        <w:t> </w:t>
      </w:r>
      <w:r>
        <w:rPr>
          <w:color w:val="4D09A2"/>
          <w:spacing w:val="-2"/>
          <w:sz w:val="22"/>
        </w:rPr>
        <w:t>Manager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37" y="3086099"/>
                            <a:ext cx="1076325" cy="521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210175">
                                <a:moveTo>
                                  <a:pt x="47625" y="5183009"/>
                                </a:moveTo>
                                <a:lnTo>
                                  <a:pt x="27165" y="5162550"/>
                                </a:lnTo>
                                <a:lnTo>
                                  <a:pt x="20472" y="5162550"/>
                                </a:lnTo>
                                <a:lnTo>
                                  <a:pt x="0" y="5183009"/>
                                </a:lnTo>
                                <a:lnTo>
                                  <a:pt x="0" y="5186591"/>
                                </a:lnTo>
                                <a:lnTo>
                                  <a:pt x="0" y="5189715"/>
                                </a:lnTo>
                                <a:lnTo>
                                  <a:pt x="20472" y="5210175"/>
                                </a:lnTo>
                                <a:lnTo>
                                  <a:pt x="27165" y="5210175"/>
                                </a:lnTo>
                                <a:lnTo>
                                  <a:pt x="47625" y="5189715"/>
                                </a:lnTo>
                                <a:lnTo>
                                  <a:pt x="47625" y="5183009"/>
                                </a:lnTo>
                                <a:close/>
                              </a:path>
                              <a:path w="1076325" h="5210175">
                                <a:moveTo>
                                  <a:pt x="47625" y="4830597"/>
                                </a:moveTo>
                                <a:lnTo>
                                  <a:pt x="27165" y="4810125"/>
                                </a:lnTo>
                                <a:lnTo>
                                  <a:pt x="20472" y="4810125"/>
                                </a:lnTo>
                                <a:lnTo>
                                  <a:pt x="0" y="4830597"/>
                                </a:lnTo>
                                <a:lnTo>
                                  <a:pt x="0" y="4834166"/>
                                </a:lnTo>
                                <a:lnTo>
                                  <a:pt x="0" y="4837290"/>
                                </a:lnTo>
                                <a:lnTo>
                                  <a:pt x="20472" y="4857750"/>
                                </a:lnTo>
                                <a:lnTo>
                                  <a:pt x="27165" y="4857750"/>
                                </a:lnTo>
                                <a:lnTo>
                                  <a:pt x="47625" y="4837290"/>
                                </a:lnTo>
                                <a:lnTo>
                                  <a:pt x="47625" y="4830597"/>
                                </a:lnTo>
                                <a:close/>
                              </a:path>
                              <a:path w="1076325" h="5210175">
                                <a:moveTo>
                                  <a:pt x="47625" y="4325772"/>
                                </a:moveTo>
                                <a:lnTo>
                                  <a:pt x="27165" y="4305300"/>
                                </a:lnTo>
                                <a:lnTo>
                                  <a:pt x="20472" y="4305300"/>
                                </a:lnTo>
                                <a:lnTo>
                                  <a:pt x="0" y="4325772"/>
                                </a:lnTo>
                                <a:lnTo>
                                  <a:pt x="0" y="4329341"/>
                                </a:lnTo>
                                <a:lnTo>
                                  <a:pt x="0" y="4332465"/>
                                </a:lnTo>
                                <a:lnTo>
                                  <a:pt x="20472" y="4352925"/>
                                </a:lnTo>
                                <a:lnTo>
                                  <a:pt x="27165" y="4352925"/>
                                </a:lnTo>
                                <a:lnTo>
                                  <a:pt x="47625" y="4332465"/>
                                </a:lnTo>
                                <a:lnTo>
                                  <a:pt x="47625" y="4325772"/>
                                </a:lnTo>
                                <a:close/>
                              </a:path>
                              <a:path w="1076325" h="5210175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1076325" h="5210175">
                                <a:moveTo>
                                  <a:pt x="47625" y="3616972"/>
                                </a:moveTo>
                                <a:lnTo>
                                  <a:pt x="31102" y="3600450"/>
                                </a:lnTo>
                                <a:lnTo>
                                  <a:pt x="16535" y="3600450"/>
                                </a:lnTo>
                                <a:lnTo>
                                  <a:pt x="0" y="3616972"/>
                                </a:lnTo>
                                <a:lnTo>
                                  <a:pt x="0" y="3619500"/>
                                </a:lnTo>
                                <a:lnTo>
                                  <a:pt x="0" y="3622027"/>
                                </a:lnTo>
                                <a:lnTo>
                                  <a:pt x="16535" y="3638550"/>
                                </a:lnTo>
                                <a:lnTo>
                                  <a:pt x="31102" y="3638550"/>
                                </a:lnTo>
                                <a:lnTo>
                                  <a:pt x="47625" y="3622027"/>
                                </a:lnTo>
                                <a:lnTo>
                                  <a:pt x="47625" y="3616972"/>
                                </a:lnTo>
                                <a:close/>
                              </a:path>
                              <a:path w="1076325" h="5210175">
                                <a:moveTo>
                                  <a:pt x="47625" y="3258972"/>
                                </a:moveTo>
                                <a:lnTo>
                                  <a:pt x="27165" y="3238500"/>
                                </a:lnTo>
                                <a:lnTo>
                                  <a:pt x="20472" y="3238500"/>
                                </a:lnTo>
                                <a:lnTo>
                                  <a:pt x="0" y="3258972"/>
                                </a:lnTo>
                                <a:lnTo>
                                  <a:pt x="0" y="3262541"/>
                                </a:lnTo>
                                <a:lnTo>
                                  <a:pt x="0" y="3265665"/>
                                </a:lnTo>
                                <a:lnTo>
                                  <a:pt x="20472" y="3286125"/>
                                </a:lnTo>
                                <a:lnTo>
                                  <a:pt x="27165" y="3286125"/>
                                </a:lnTo>
                                <a:lnTo>
                                  <a:pt x="47625" y="3265665"/>
                                </a:lnTo>
                                <a:lnTo>
                                  <a:pt x="47625" y="3258972"/>
                                </a:lnTo>
                                <a:close/>
                              </a:path>
                              <a:path w="1076325" h="5210175">
                                <a:moveTo>
                                  <a:pt x="47625" y="2906547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47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47"/>
                                </a:lnTo>
                                <a:close/>
                              </a:path>
                              <a:path w="1076325" h="521017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2101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90592" id="docshapegroup1" coordorigin="0,0" coordsize="4065,16860">
                <v:rect style="position:absolute;left:0;top:0;width:4065;height:16860" id="docshape2" filled="true" fillcolor="#8c7cc2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d9d1e8" stroked="false">
                  <v:path arrowok="t"/>
                  <v:fill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1050;top:915;width:1950;height:1965" type="#_x0000_t75" id="docshape6" stroked="false">
                  <v:imagedata r:id="rId6" o:title=""/>
                </v:shape>
                <v:shape style="position:absolute;left:689;top:4860;width:1695;height:8205" id="docshape7" coordorigin="690,4860" coordsize="1695,8205" path="m765,13022l764,13017,760,13008,758,13004,751,12997,747,12995,738,12991,733,12990,722,12990,717,12991,708,12995,704,12997,697,13004,695,13008,691,13017,690,13022,690,13028,690,13033,691,13038,695,13047,697,13051,704,13058,708,13060,717,13064,722,13065,733,13065,738,13064,747,13060,751,13058,758,13051,760,13047,764,13038,765,13033,765,13022xm765,12467l764,12462,760,12453,758,12449,751,12442,747,12440,738,12436,733,12435,722,12435,717,12436,708,12440,704,12442,697,12449,695,12453,691,12462,690,12467,690,12473,690,12478,691,12483,695,12492,697,12496,704,12503,708,12505,717,12509,722,12510,733,12510,738,12509,747,12505,751,12503,758,12496,760,12492,764,12483,765,12478,765,12467xm765,11672l764,11667,760,11658,758,11654,751,11647,747,11645,738,11641,733,11640,722,11640,717,11641,708,11645,704,11647,697,11654,695,11658,691,11667,690,11672,690,11678,690,11683,691,11688,695,11697,697,11701,704,11708,708,11710,717,11714,722,11715,733,11715,738,11714,747,11710,751,11708,758,11701,760,11697,764,11688,765,11683,765,11672xm765,11117l764,11112,760,11103,758,11099,751,11092,747,11090,738,11086,733,11085,722,11085,717,11086,708,11090,704,11092,697,11099,695,11103,691,11112,690,11117,690,11123,690,11128,691,11133,695,11142,697,11146,704,11153,708,11155,717,11159,722,11160,733,11160,738,11159,747,11155,751,11153,758,11146,760,11142,764,11133,765,11128,765,11117xm765,10556l764,10552,761,10545,759,10542,753,10536,750,10534,743,10531,739,10530,716,10530,712,10531,705,10534,702,10536,696,10542,694,10545,691,10552,690,10556,690,10560,690,10564,691,10568,694,10575,696,10578,702,10584,705,10586,712,10589,716,10590,739,10590,743,10589,750,10586,753,10584,759,10578,761,10575,764,10568,765,10564,765,10556xm765,9992l764,9987,760,9978,758,9974,751,9967,747,9965,738,9961,733,9960,722,9960,717,9961,708,9965,704,9967,697,9974,695,9978,691,9987,690,9992,690,9998,690,10003,691,10008,695,10017,697,10021,704,10028,708,10030,717,10034,722,10035,733,10035,738,10034,747,10030,751,10028,758,10021,760,10017,764,10008,765,10003,765,9992xm765,9437l764,9432,760,9423,758,9419,751,9412,747,9410,738,9406,733,9405,722,9405,717,9406,708,9410,704,9412,697,9419,695,9423,691,9432,690,9437,690,9443,690,9448,691,9453,695,9462,697,9466,704,9473,708,9475,717,9479,722,9480,733,9480,738,9479,747,9475,751,9473,758,9466,760,9462,764,9453,765,9448,765,9437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3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San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Antonio,</w:t>
      </w:r>
      <w:r>
        <w:rPr>
          <w:color w:val="FFFFFF"/>
          <w:spacing w:val="8"/>
          <w:sz w:val="18"/>
        </w:rPr>
        <w:t> </w:t>
      </w:r>
      <w:r>
        <w:rPr>
          <w:color w:val="FFFFFF"/>
          <w:sz w:val="18"/>
        </w:rPr>
        <w:t>TX,</w:t>
      </w:r>
      <w:r>
        <w:rPr>
          <w:color w:val="FFFFFF"/>
          <w:spacing w:val="10"/>
          <w:sz w:val="18"/>
        </w:rPr>
        <w:t> </w:t>
      </w:r>
      <w:r>
        <w:rPr>
          <w:color w:val="FFFFFF"/>
          <w:spacing w:val="-2"/>
          <w:sz w:val="18"/>
        </w:rPr>
        <w:t>LinkedIn</w:t>
      </w:r>
    </w:p>
    <w:p>
      <w:pPr>
        <w:pStyle w:val="BodyText"/>
        <w:spacing w:before="140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  <w:spacing w:before="0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7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37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line="261" w:lineRule="auto" w:before="192"/>
        <w:ind w:left="404" w:right="113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Texas,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Antonio, </w:t>
      </w:r>
      <w:r>
        <w:rPr>
          <w:color w:val="FFFFFF"/>
          <w:spacing w:val="-6"/>
          <w:w w:val="105"/>
          <w:sz w:val="18"/>
        </w:rPr>
        <w:t>TX</w:t>
      </w:r>
    </w:p>
    <w:p>
      <w:pPr>
        <w:spacing w:before="14"/>
        <w:ind w:left="404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|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May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2019</w:t>
      </w:r>
    </w:p>
    <w:p>
      <w:pPr>
        <w:spacing w:line="278" w:lineRule="auto" w:before="18"/>
        <w:ind w:left="404" w:right="462" w:firstLine="0"/>
        <w:jc w:val="left"/>
        <w:rPr>
          <w:sz w:val="18"/>
        </w:rPr>
      </w:pPr>
      <w:r>
        <w:rPr>
          <w:color w:val="FFFFFF"/>
          <w:w w:val="105"/>
          <w:sz w:val="18"/>
        </w:rPr>
        <w:t>Bachelor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Science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in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Nursing </w:t>
      </w:r>
      <w:r>
        <w:rPr>
          <w:color w:val="FFFFFF"/>
          <w:spacing w:val="-2"/>
          <w:w w:val="105"/>
          <w:sz w:val="18"/>
        </w:rPr>
        <w:t>(B.S.N.)</w:t>
      </w:r>
    </w:p>
    <w:p>
      <w:pPr>
        <w:pStyle w:val="BodyText"/>
        <w:spacing w:before="13"/>
        <w:rPr>
          <w:sz w:val="18"/>
        </w:rPr>
      </w:pPr>
    </w:p>
    <w:p>
      <w:pPr>
        <w:pStyle w:val="Heading2"/>
        <w:spacing w:before="1"/>
      </w:pPr>
      <w:r>
        <w:rPr>
          <w:color w:val="FFFFFF"/>
        </w:rPr>
        <w:t>Key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Skills</w:t>
      </w:r>
    </w:p>
    <w:p>
      <w:pPr>
        <w:spacing w:line="278" w:lineRule="auto" w:before="191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Client advocacy and </w:t>
      </w:r>
      <w:r>
        <w:rPr>
          <w:color w:val="FFFFFF"/>
          <w:sz w:val="18"/>
        </w:rPr>
        <w:t>empowerment strategies</w:t>
      </w:r>
    </w:p>
    <w:p>
      <w:pPr>
        <w:spacing w:line="278" w:lineRule="auto" w:before="7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Community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outreach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sz w:val="18"/>
        </w:rPr>
        <w:t>stakeholder</w:t>
      </w:r>
      <w:r>
        <w:rPr>
          <w:color w:val="FFFFFF"/>
          <w:spacing w:val="18"/>
          <w:sz w:val="18"/>
        </w:rPr>
        <w:t> </w:t>
      </w:r>
      <w:r>
        <w:rPr>
          <w:color w:val="FFFFFF"/>
          <w:spacing w:val="-2"/>
          <w:sz w:val="18"/>
        </w:rPr>
        <w:t>engagement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Needs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assessments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service </w:t>
      </w:r>
      <w:r>
        <w:rPr>
          <w:color w:val="FFFFFF"/>
          <w:w w:val="105"/>
          <w:sz w:val="18"/>
        </w:rPr>
        <w:t>eligibility determination</w:t>
      </w:r>
    </w:p>
    <w:p>
      <w:pPr>
        <w:spacing w:line="261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Case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documentation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compliance reporting</w:t>
      </w:r>
    </w:p>
    <w:p>
      <w:pPr>
        <w:spacing w:line="268" w:lineRule="auto" w:before="104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Public assistance program </w:t>
      </w:r>
      <w:r>
        <w:rPr>
          <w:color w:val="FFFFFF"/>
          <w:spacing w:val="-2"/>
          <w:w w:val="105"/>
          <w:sz w:val="18"/>
        </w:rPr>
        <w:t>navigation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(Section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8,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SNAP, Medicaid)</w:t>
      </w:r>
    </w:p>
    <w:p>
      <w:pPr>
        <w:spacing w:line="278" w:lineRule="auto" w:before="99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Multi-agency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collaboration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partnership development</w:t>
      </w:r>
    </w:p>
    <w:p>
      <w:pPr>
        <w:spacing w:line="278" w:lineRule="auto" w:before="7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Mentorship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program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design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youth intervention</w:t>
      </w:r>
    </w:p>
    <w:p>
      <w:pPr>
        <w:pStyle w:val="Heading3"/>
        <w:spacing w:line="261" w:lineRule="auto" w:before="74"/>
        <w:ind w:left="0" w:right="229"/>
        <w:jc w:val="center"/>
      </w:pPr>
      <w:r>
        <w:rPr>
          <w:b w:val="0"/>
        </w:rPr>
        <w:br w:type="column"/>
      </w:r>
      <w:r>
        <w:rPr>
          <w:color w:val="4D09A2"/>
          <w:w w:val="105"/>
        </w:rPr>
        <w:t>Dedicated</w:t>
      </w:r>
      <w:r>
        <w:rPr>
          <w:color w:val="4D09A2"/>
          <w:spacing w:val="-14"/>
          <w:w w:val="105"/>
        </w:rPr>
        <w:t> </w:t>
      </w:r>
      <w:r>
        <w:rPr>
          <w:color w:val="4D09A2"/>
          <w:w w:val="105"/>
        </w:rPr>
        <w:t>nurse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case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manager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with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a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track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record</w:t>
      </w:r>
      <w:r>
        <w:rPr>
          <w:color w:val="4D09A2"/>
          <w:spacing w:val="-14"/>
          <w:w w:val="105"/>
        </w:rPr>
        <w:t> </w:t>
      </w:r>
      <w:r>
        <w:rPr>
          <w:color w:val="4D09A2"/>
          <w:w w:val="105"/>
        </w:rPr>
        <w:t>of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improving</w:t>
      </w:r>
      <w:r>
        <w:rPr>
          <w:color w:val="4D09A2"/>
          <w:spacing w:val="-13"/>
          <w:w w:val="105"/>
        </w:rPr>
        <w:t> </w:t>
      </w:r>
      <w:r>
        <w:rPr>
          <w:color w:val="4D09A2"/>
          <w:w w:val="105"/>
        </w:rPr>
        <w:t>patient compliance and reducing readmissions</w:t>
      </w:r>
    </w:p>
    <w:p>
      <w:pPr>
        <w:spacing w:line="271" w:lineRule="auto" w:before="104"/>
        <w:ind w:left="205" w:right="434" w:firstLine="0"/>
        <w:jc w:val="center"/>
        <w:rPr>
          <w:sz w:val="18"/>
        </w:rPr>
      </w:pPr>
      <w:r>
        <w:rPr>
          <w:color w:val="4D09A2"/>
          <w:w w:val="105"/>
          <w:sz w:val="18"/>
        </w:rPr>
        <w:t>Experienced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registered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nurse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with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ﬁve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years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in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case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management,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specializing</w:t>
      </w:r>
      <w:r>
        <w:rPr>
          <w:color w:val="4D09A2"/>
          <w:spacing w:val="-5"/>
          <w:w w:val="105"/>
          <w:sz w:val="18"/>
        </w:rPr>
        <w:t> </w:t>
      </w:r>
      <w:r>
        <w:rPr>
          <w:color w:val="4D09A2"/>
          <w:w w:val="105"/>
          <w:sz w:val="18"/>
        </w:rPr>
        <w:t>in chronic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disease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coordination,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patient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advocacy,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post-acute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care</w:t>
      </w:r>
      <w:r>
        <w:rPr>
          <w:color w:val="4D09A2"/>
          <w:spacing w:val="-4"/>
          <w:w w:val="105"/>
          <w:sz w:val="18"/>
        </w:rPr>
        <w:t> </w:t>
      </w:r>
      <w:r>
        <w:rPr>
          <w:color w:val="4D09A2"/>
          <w:w w:val="105"/>
          <w:sz w:val="18"/>
        </w:rPr>
        <w:t>transitions. Proven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ability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to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reduce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hospital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readmissions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improve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treatment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adherence through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proactive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follow-up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programs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patient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education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initiatives.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Skilled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in </w:t>
      </w:r>
      <w:r>
        <w:rPr>
          <w:color w:val="4D09A2"/>
          <w:spacing w:val="-2"/>
          <w:w w:val="105"/>
          <w:sz w:val="18"/>
        </w:rPr>
        <w:t>managing high-volume chronic care populations while maintaining compliance with </w:t>
      </w:r>
      <w:r>
        <w:rPr>
          <w:color w:val="4D09A2"/>
          <w:w w:val="105"/>
          <w:sz w:val="18"/>
        </w:rPr>
        <w:t>clinical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protocols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payer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requirements.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Committed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to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delivering</w:t>
      </w:r>
      <w:r>
        <w:rPr>
          <w:color w:val="4D09A2"/>
          <w:spacing w:val="40"/>
          <w:w w:val="105"/>
          <w:sz w:val="18"/>
        </w:rPr>
        <w:t> </w:t>
      </w:r>
      <w:r>
        <w:rPr>
          <w:color w:val="4D09A2"/>
          <w:w w:val="105"/>
          <w:sz w:val="18"/>
        </w:rPr>
        <w:t>patient-centered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care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that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improves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long-term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health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outcomes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across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complex</w:t>
      </w:r>
      <w:r>
        <w:rPr>
          <w:color w:val="4D09A2"/>
          <w:spacing w:val="-2"/>
          <w:w w:val="105"/>
          <w:sz w:val="18"/>
        </w:rPr>
        <w:t> </w:t>
      </w:r>
      <w:r>
        <w:rPr>
          <w:color w:val="4D09A2"/>
          <w:w w:val="105"/>
          <w:sz w:val="18"/>
        </w:rPr>
        <w:t>disease </w:t>
      </w:r>
      <w:r>
        <w:rPr>
          <w:color w:val="4D09A2"/>
          <w:spacing w:val="-2"/>
          <w:w w:val="105"/>
          <w:sz w:val="18"/>
        </w:rPr>
        <w:t>populations.</w:t>
      </w: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233837</wp:posOffset>
                </wp:positionV>
                <wp:extent cx="46196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412411pt;width:363.749971pt;height:.75pt;mso-position-horizontal-relative:page;mso-position-vertical-relative:paragraph;z-index:-15728640;mso-wrap-distance-left:0;mso-wrap-distance-right:0" id="docshape8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0"/>
        <w:rPr>
          <w:sz w:val="18"/>
        </w:rPr>
      </w:pPr>
    </w:p>
    <w:p>
      <w:pPr>
        <w:pStyle w:val="Heading2"/>
      </w:pPr>
      <w:r>
        <w:rPr>
          <w:color w:val="4D09A2"/>
          <w:spacing w:val="-2"/>
        </w:rPr>
        <w:t>Professional</w:t>
      </w:r>
      <w:r>
        <w:rPr>
          <w:color w:val="4D09A2"/>
          <w:spacing w:val="-5"/>
        </w:rPr>
        <w:t> </w:t>
      </w:r>
      <w:r>
        <w:rPr>
          <w:color w:val="4D09A2"/>
          <w:spacing w:val="-2"/>
        </w:rPr>
        <w:t>Experience</w:t>
      </w:r>
    </w:p>
    <w:p>
      <w:pPr>
        <w:pStyle w:val="BodyText"/>
        <w:spacing w:before="196"/>
        <w:ind w:left="311"/>
      </w:pPr>
      <w:r>
        <w:rPr>
          <w:w w:val="105"/>
        </w:rPr>
        <w:t>Nurse</w:t>
      </w:r>
      <w:r>
        <w:rPr>
          <w:spacing w:val="-12"/>
          <w:w w:val="105"/>
        </w:rPr>
        <w:t> </w:t>
      </w:r>
      <w:r>
        <w:rPr>
          <w:w w:val="105"/>
        </w:rPr>
        <w:t>Case</w:t>
      </w:r>
      <w:r>
        <w:rPr>
          <w:spacing w:val="-12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,</w:t>
      </w:r>
      <w:r>
        <w:rPr>
          <w:spacing w:val="-12"/>
          <w:w w:val="105"/>
        </w:rPr>
        <w:t> </w:t>
      </w:r>
      <w:r>
        <w:rPr>
          <w:w w:val="105"/>
        </w:rPr>
        <w:t>Alamo</w:t>
      </w:r>
      <w:r>
        <w:rPr>
          <w:spacing w:val="-9"/>
          <w:w w:val="105"/>
        </w:rPr>
        <w:t> </w:t>
      </w:r>
      <w:r>
        <w:rPr>
          <w:w w:val="105"/>
        </w:rPr>
        <w:t>Healthcare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San</w:t>
      </w:r>
      <w:r>
        <w:rPr>
          <w:spacing w:val="-12"/>
          <w:w w:val="105"/>
        </w:rPr>
        <w:t> </w:t>
      </w:r>
      <w:r>
        <w:rPr>
          <w:w w:val="105"/>
        </w:rPr>
        <w:t>Antonio,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311"/>
      </w:pPr>
      <w:r>
        <w:rPr>
          <w:w w:val="105"/>
        </w:rPr>
        <w:t>July</w:t>
      </w:r>
      <w:r>
        <w:rPr>
          <w:spacing w:val="-5"/>
          <w:w w:val="105"/>
        </w:rPr>
        <w:t> </w:t>
      </w:r>
      <w:r>
        <w:rPr>
          <w:w w:val="105"/>
        </w:rPr>
        <w:t>2021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0" w:after="0"/>
        <w:ind w:left="888" w:right="250" w:hanging="291"/>
        <w:jc w:val="both"/>
        <w:rPr>
          <w:sz w:val="16"/>
        </w:rPr>
      </w:pPr>
      <w:r>
        <w:rPr>
          <w:w w:val="105"/>
          <w:sz w:val="16"/>
        </w:rPr>
        <w:t>Reduced hospital readmissions by 20% through implementation of a proactive post-discharge follow-up program, including 48-hour phone check-ins and care transition planning for high-risk patients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153" w:hanging="291"/>
        <w:jc w:val="left"/>
        <w:rPr>
          <w:sz w:val="16"/>
        </w:rPr>
      </w:pPr>
      <w:r>
        <w:rPr>
          <w:w w:val="105"/>
          <w:sz w:val="16"/>
        </w:rPr>
        <w:t>Managed care plans for 100+ chronic disease patients monthly across diabetes, COPD, and heart failure populations, achieving a 95% compliance rate with treatment </w:t>
      </w:r>
      <w:r>
        <w:rPr>
          <w:spacing w:val="-2"/>
          <w:w w:val="105"/>
          <w:sz w:val="16"/>
        </w:rPr>
        <w:t>protocols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495" w:hanging="291"/>
        <w:jc w:val="left"/>
        <w:rPr>
          <w:sz w:val="16"/>
        </w:rPr>
      </w:pPr>
      <w:r>
        <w:rPr>
          <w:w w:val="105"/>
          <w:sz w:val="16"/>
        </w:rPr>
        <w:t>Conducted interdisciplinary care conferences for complex cases, streamlining communication between physicians, social workers, and discharge planners and reducing transition planning time by 25%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473" w:hanging="291"/>
        <w:jc w:val="left"/>
        <w:rPr>
          <w:sz w:val="16"/>
        </w:rPr>
      </w:pPr>
      <w:r>
        <w:rPr>
          <w:w w:val="105"/>
          <w:sz w:val="16"/>
        </w:rPr>
        <w:t>Developed patient education materials on medication adherence, nutrition, and symptom monitoring, improving self-management competency scores by 30% on post-education assessments</w:t>
      </w:r>
    </w:p>
    <w:p>
      <w:pPr>
        <w:pStyle w:val="BodyText"/>
        <w:spacing w:before="102"/>
      </w:pPr>
    </w:p>
    <w:p>
      <w:pPr>
        <w:pStyle w:val="BodyText"/>
        <w:ind w:left="311"/>
      </w:pPr>
      <w:r>
        <w:rPr>
          <w:w w:val="105"/>
        </w:rPr>
        <w:t>Registered</w:t>
      </w:r>
      <w:r>
        <w:rPr>
          <w:spacing w:val="-12"/>
          <w:w w:val="105"/>
        </w:rPr>
        <w:t> </w:t>
      </w:r>
      <w:r>
        <w:rPr>
          <w:w w:val="105"/>
        </w:rPr>
        <w:t>Nurse,</w:t>
      </w:r>
      <w:r>
        <w:rPr>
          <w:spacing w:val="-12"/>
          <w:w w:val="105"/>
        </w:rPr>
        <w:t> </w:t>
      </w:r>
      <w:r>
        <w:rPr>
          <w:w w:val="105"/>
        </w:rPr>
        <w:t>Mission</w:t>
      </w:r>
      <w:r>
        <w:rPr>
          <w:spacing w:val="-11"/>
          <w:w w:val="105"/>
        </w:rPr>
        <w:t> </w:t>
      </w:r>
      <w:r>
        <w:rPr>
          <w:w w:val="105"/>
        </w:rPr>
        <w:t>General</w:t>
      </w:r>
      <w:r>
        <w:rPr>
          <w:spacing w:val="-12"/>
          <w:w w:val="105"/>
        </w:rPr>
        <w:t> </w:t>
      </w:r>
      <w:r>
        <w:rPr>
          <w:w w:val="105"/>
        </w:rPr>
        <w:t>Hospital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San</w:t>
      </w:r>
      <w:r>
        <w:rPr>
          <w:spacing w:val="-12"/>
          <w:w w:val="105"/>
        </w:rPr>
        <w:t> </w:t>
      </w:r>
      <w:r>
        <w:rPr>
          <w:w w:val="105"/>
        </w:rPr>
        <w:t>Antonio,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311"/>
      </w:pPr>
      <w:r>
        <w:rPr>
          <w:w w:val="105"/>
        </w:rPr>
        <w:t>August</w:t>
      </w:r>
      <w:r>
        <w:rPr>
          <w:spacing w:val="-4"/>
          <w:w w:val="105"/>
        </w:rPr>
        <w:t> </w:t>
      </w:r>
      <w:r>
        <w:rPr>
          <w:w w:val="105"/>
        </w:rPr>
        <w:t>2019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July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0" w:after="0"/>
        <w:ind w:left="888" w:right="367" w:hanging="291"/>
        <w:jc w:val="left"/>
        <w:rPr>
          <w:sz w:val="16"/>
        </w:rPr>
      </w:pPr>
      <w:r>
        <w:rPr>
          <w:w w:val="105"/>
          <w:sz w:val="16"/>
        </w:rPr>
        <w:t>Delivered bedside care for 8-10 patients per shift in the surgical recovery unit, maintaining compliance with post-operative protocols and achieving a 96% patient satisfaction rating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135" w:hanging="291"/>
        <w:jc w:val="left"/>
        <w:rPr>
          <w:sz w:val="16"/>
        </w:rPr>
      </w:pPr>
      <w:r>
        <w:rPr>
          <w:w w:val="105"/>
          <w:sz w:val="16"/>
        </w:rPr>
        <w:t>Collaborated with the case management team to create individualized post-discharge care instructions for 15+ patients weekly, improving adherence to follow-up appointments by 18%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61" w:hanging="291"/>
        <w:jc w:val="left"/>
        <w:rPr>
          <w:sz w:val="16"/>
        </w:rPr>
      </w:pPr>
      <w:r>
        <w:rPr>
          <w:w w:val="105"/>
          <w:sz w:val="16"/>
        </w:rPr>
        <w:t>Identiﬁed 25+ patients at high risk for readmission and escalated to case management team, enabling proactive intervention and reducing surgical complication-related readmissions by 10%</w:t>
      </w:r>
    </w:p>
    <w:p>
      <w:pPr>
        <w:pStyle w:val="BodyText"/>
        <w:spacing w:before="169"/>
      </w:pPr>
    </w:p>
    <w:p>
      <w:pPr>
        <w:pStyle w:val="Heading2"/>
        <w:spacing w:before="1"/>
      </w:pPr>
      <w:r>
        <w:rPr>
          <w:color w:val="4D09A2"/>
          <w:spacing w:val="-2"/>
        </w:rPr>
        <w:t>Certiﬁcations</w:t>
      </w: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73" w:lineRule="auto" w:before="195" w:after="0"/>
        <w:ind w:left="609" w:right="433" w:hanging="297"/>
        <w:jc w:val="left"/>
        <w:rPr>
          <w:sz w:val="16"/>
        </w:rPr>
      </w:pPr>
      <w:r>
        <w:rPr>
          <w:w w:val="105"/>
          <w:sz w:val="16"/>
        </w:rPr>
        <w:t>Certiﬁed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(CCM)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Commission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Certiﬁcation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August </w:t>
      </w:r>
      <w:r>
        <w:rPr>
          <w:spacing w:val="-4"/>
          <w:w w:val="105"/>
          <w:sz w:val="16"/>
        </w:rPr>
        <w:t>2022</w:t>
      </w: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73" w:lineRule="auto" w:before="91" w:after="0"/>
        <w:ind w:left="609" w:right="116" w:hanging="297"/>
        <w:jc w:val="left"/>
        <w:rPr>
          <w:sz w:val="16"/>
        </w:rPr>
      </w:pPr>
      <w:r>
        <w:rPr>
          <w:w w:val="105"/>
          <w:sz w:val="16"/>
        </w:rPr>
        <w:t>Accredited Case Manager (ACM) , American Case Management Association , September </w:t>
      </w:r>
      <w:r>
        <w:rPr>
          <w:spacing w:val="-4"/>
          <w:w w:val="105"/>
          <w:sz w:val="16"/>
        </w:rPr>
        <w:t>2023</w:t>
      </w: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40" w:lineRule="auto" w:before="90" w:after="0"/>
        <w:ind w:left="609" w:right="0" w:hanging="297"/>
        <w:jc w:val="left"/>
        <w:rPr>
          <w:sz w:val="16"/>
        </w:rPr>
      </w:pPr>
      <w:r>
        <w:rPr>
          <w:w w:val="105"/>
          <w:sz w:val="16"/>
        </w:rPr>
        <w:t>Basic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Life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(BLS)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American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Heart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Association,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March</w:t>
      </w:r>
      <w:r>
        <w:rPr>
          <w:spacing w:val="-5"/>
          <w:w w:val="105"/>
          <w:sz w:val="16"/>
        </w:rPr>
        <w:t> </w:t>
      </w:r>
      <w:r>
        <w:rPr>
          <w:spacing w:val="-4"/>
          <w:w w:val="105"/>
          <w:sz w:val="16"/>
        </w:rPr>
        <w:t>2024</w:t>
      </w:r>
    </w:p>
    <w:sectPr>
      <w:type w:val="continuous"/>
      <w:pgSz w:w="11920" w:h="16860"/>
      <w:pgMar w:top="0" w:bottom="0" w:left="283" w:right="141"/>
      <w:cols w:num="2" w:equalWidth="0">
        <w:col w:w="3418" w:space="636"/>
        <w:col w:w="74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3.png"/>
      </v:shape>
    </w:pict>
  </w:numPicBullet>
  <w:numPicBullet w:numPicBulletId="1">
    <w:pict>
      <v:shape id="_x0000_i1076" type="#_x0000_t75" style="width:7.500000pt;height:7.500000pt" o:bullet="t">
        <v:imagedata r:id="rId1" o:title="image3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1"/>
      <w:lvlJc w:val="left"/>
      <w:pPr>
        <w:ind w:left="609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3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5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9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3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7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71" w:hanging="29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5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7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9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5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1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7" w:hanging="29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65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0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888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2026-03-22T13:04:03Z</dcterms:created>
  <dcterms:modified xsi:type="dcterms:W3CDTF">2026-03-22T13:04:03Z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