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Diego,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66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Selena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Ramirez</w:t>
      </w:r>
    </w:p>
    <w:p>
      <w:pPr>
        <w:pStyle w:val="Heading2"/>
      </w:pPr>
      <w:r>
        <w:rPr>
          <w:color w:val="FFFFFF"/>
        </w:rPr>
        <w:t>Business</w:t>
      </w:r>
      <w:r>
        <w:rPr>
          <w:color w:val="FFFFFF"/>
          <w:spacing w:val="45"/>
        </w:rPr>
        <w:t> </w:t>
      </w:r>
      <w:r>
        <w:rPr>
          <w:color w:val="FFFFFF"/>
        </w:rPr>
        <w:t>Development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78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Seasoned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growing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penetration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strategies,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relationship management,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forecasting.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Increased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regions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retention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15%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Procter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&amp;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Gamble,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 expanded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25%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forecast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30%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Coca-Cola.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MBA from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Harvard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School,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Master's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 Marketing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Columbia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University.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Specialized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partnerships,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pipeline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territory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expansion.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8"/>
        <w:rPr>
          <w:sz w:val="24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-18651</wp:posOffset>
                </wp:positionV>
                <wp:extent cx="22383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.468591pt;width:176.25pt;height:24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line="268" w:lineRule="auto" w:before="138"/>
        <w:ind w:left="576" w:right="34"/>
      </w:pPr>
      <w:r>
        <w:rPr/>
        <w:t>MBA </w:t>
      </w:r>
      <w:r>
        <w:rPr>
          <w:position w:val="2"/>
        </w:rPr>
        <w:t>| </w:t>
      </w:r>
      <w:r>
        <w:rPr/>
        <w:t>Harvard Business School | Boston, MA | May 2015</w:t>
      </w:r>
    </w:p>
    <w:p>
      <w:pPr>
        <w:pStyle w:val="BodyText"/>
        <w:spacing w:before="164"/>
      </w:pPr>
    </w:p>
    <w:p>
      <w:pPr>
        <w:pStyle w:val="BodyText"/>
        <w:spacing w:line="273" w:lineRule="auto"/>
        <w:ind w:left="576" w:right="34"/>
      </w:pPr>
      <w:r>
        <w:rPr/>
        <w:t>Master's in Marketing </w:t>
      </w:r>
      <w:r>
        <w:rPr>
          <w:position w:val="2"/>
        </w:rPr>
        <w:t>| </w:t>
      </w:r>
      <w:r>
        <w:rPr/>
        <w:t>Columbia University | New York, NY | May </w:t>
      </w:r>
      <w:r>
        <w:rPr>
          <w:spacing w:val="-4"/>
        </w:rPr>
        <w:t>2016</w:t>
      </w:r>
    </w:p>
    <w:p>
      <w:pPr>
        <w:pStyle w:val="BodyText"/>
        <w:spacing w:before="160"/>
      </w:pPr>
    </w:p>
    <w:p>
      <w:pPr>
        <w:pStyle w:val="BodyText"/>
        <w:spacing w:line="273" w:lineRule="auto"/>
        <w:ind w:left="576" w:right="34"/>
      </w:pPr>
      <w:r>
        <w:rPr>
          <w:w w:val="105"/>
        </w:rPr>
        <w:t>BS in Business Administration </w:t>
      </w:r>
      <w:r>
        <w:rPr>
          <w:w w:val="105"/>
          <w:position w:val="2"/>
        </w:rPr>
        <w:t>| </w:t>
      </w:r>
      <w:r>
        <w:rPr>
          <w:w w:val="105"/>
        </w:rPr>
        <w:t>University of California, Berkeley | Berkeley, CA | May 2011</w:t>
      </w:r>
    </w:p>
    <w:p>
      <w:pPr>
        <w:pStyle w:val="BodyText"/>
        <w:spacing w:before="18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281499</wp:posOffset>
                </wp:positionV>
                <wp:extent cx="2238375" cy="31432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0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2.165279pt;width:176.25pt;height:24.75pt;mso-position-horizontal-relative:page;mso-position-vertical-relative:paragraph;z-index:-15728640;mso-wrap-distance-left:0;mso-wrap-distance-right:0" type="#_x0000_t202" id="docshape2" filled="false" stroked="false">
                <v:textbox inset="0,0,0,0">
                  <w:txbxContent>
                    <w:p>
                      <w:pPr>
                        <w:spacing w:before="90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142"/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" w:after="0"/>
        <w:ind w:left="873" w:right="328" w:hanging="298"/>
        <w:jc w:val="left"/>
        <w:rPr>
          <w:sz w:val="18"/>
        </w:rPr>
      </w:pPr>
      <w:r>
        <w:rPr>
          <w:w w:val="105"/>
          <w:sz w:val="18"/>
        </w:rPr>
        <w:t>Customer relationship management and retention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7" w:after="0"/>
        <w:ind w:left="873" w:right="227" w:hanging="298"/>
        <w:jc w:val="left"/>
        <w:rPr>
          <w:sz w:val="18"/>
        </w:rPr>
      </w:pPr>
      <w:r>
        <w:rPr>
          <w:w w:val="105"/>
          <w:sz w:val="18"/>
        </w:rPr>
        <w:t>Financial analysis and sales </w:t>
      </w:r>
      <w:r>
        <w:rPr>
          <w:spacing w:val="-2"/>
          <w:w w:val="105"/>
          <w:sz w:val="18"/>
        </w:rPr>
        <w:t>forecasting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Business</w:t>
      </w:r>
      <w:r>
        <w:rPr>
          <w:spacing w:val="14"/>
          <w:w w:val="105"/>
        </w:rPr>
        <w:t> </w:t>
      </w:r>
      <w:r>
        <w:rPr>
          <w:w w:val="105"/>
        </w:rPr>
        <w:t>Development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576"/>
      </w:pPr>
      <w:r>
        <w:rPr>
          <w:w w:val="105"/>
        </w:rPr>
        <w:t>Procter</w:t>
      </w:r>
      <w:r>
        <w:rPr>
          <w:spacing w:val="7"/>
          <w:w w:val="105"/>
        </w:rPr>
        <w:t> </w:t>
      </w:r>
      <w:r>
        <w:rPr>
          <w:w w:val="105"/>
        </w:rPr>
        <w:t>&amp;</w:t>
      </w:r>
      <w:r>
        <w:rPr>
          <w:spacing w:val="7"/>
          <w:w w:val="105"/>
        </w:rPr>
        <w:t> </w:t>
      </w:r>
      <w:r>
        <w:rPr>
          <w:w w:val="105"/>
        </w:rPr>
        <w:t>Gamble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Cincinnati,</w:t>
      </w:r>
      <w:r>
        <w:rPr>
          <w:spacing w:val="7"/>
          <w:w w:val="105"/>
        </w:rPr>
        <w:t> </w:t>
      </w:r>
      <w:r>
        <w:rPr>
          <w:w w:val="105"/>
        </w:rPr>
        <w:t>OH,</w:t>
      </w:r>
      <w:r>
        <w:rPr>
          <w:spacing w:val="6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0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4" w:lineRule="auto" w:before="0" w:after="0"/>
        <w:ind w:left="1004" w:right="444" w:hanging="298"/>
        <w:jc w:val="left"/>
        <w:rPr>
          <w:position w:val="-2"/>
          <w:sz w:val="31"/>
        </w:rPr>
      </w:pPr>
      <w:r>
        <w:rPr>
          <w:w w:val="105"/>
          <w:sz w:val="18"/>
        </w:rPr>
        <w:t>Developed market penetration strategy targeting 5 new regional territories, increasing sales by 20% and generating $4.5 million in incremental annual</w:t>
      </w:r>
    </w:p>
    <w:p>
      <w:pPr>
        <w:pStyle w:val="BodyText"/>
        <w:spacing w:before="39"/>
        <w:ind w:left="1004"/>
      </w:pPr>
      <w:r>
        <w:rPr>
          <w:spacing w:val="-2"/>
          <w:w w:val="105"/>
        </w:rPr>
        <w:t>revenue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74" w:after="0"/>
        <w:ind w:left="1004" w:right="210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40+ key client relationships across 3 product divisions, achieving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15% improvement in retention through quarterly business reviews and</w:t>
      </w:r>
    </w:p>
    <w:p>
      <w:pPr>
        <w:pStyle w:val="BodyText"/>
        <w:spacing w:before="40"/>
        <w:ind w:left="1004"/>
      </w:pPr>
      <w:r>
        <w:rPr>
          <w:w w:val="105"/>
        </w:rPr>
        <w:t>proactive</w:t>
      </w:r>
      <w:r>
        <w:rPr>
          <w:spacing w:val="32"/>
          <w:w w:val="105"/>
        </w:rPr>
        <w:t> </w:t>
      </w:r>
      <w:r>
        <w:rPr>
          <w:w w:val="105"/>
        </w:rPr>
        <w:t>account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668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accurate sales forecasts with 92% variance accuracy across 4 consecutive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quarters,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make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confident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resource</w:t>
      </w:r>
    </w:p>
    <w:p>
      <w:pPr>
        <w:pStyle w:val="BodyText"/>
        <w:spacing w:before="25"/>
        <w:ind w:left="1004"/>
      </w:pPr>
      <w:r>
        <w:rPr>
          <w:w w:val="105"/>
        </w:rPr>
        <w:t>allocation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decisions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90" w:after="0"/>
        <w:ind w:left="1004" w:right="216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and managed a partnership pipeline of 12 strategic accounts, closing 6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new agreements worth $7 million in committed contract value over 18 months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81" w:after="0"/>
        <w:ind w:left="1004" w:right="561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cross-functional go-to-market team of 8 across sales, marketing, and product,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cycles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14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weeks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9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weeks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9" w:after="0"/>
        <w:ind w:left="1004" w:right="47" w:hanging="298"/>
        <w:jc w:val="left"/>
        <w:rPr>
          <w:position w:val="-4"/>
          <w:sz w:val="31"/>
        </w:rPr>
      </w:pPr>
      <w:r>
        <w:rPr>
          <w:w w:val="105"/>
          <w:sz w:val="18"/>
        </w:rPr>
        <w:t>Mentored 3 junior business development associates, with 2 earning promotions within 18 months of joining the team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0" w:right="141"/>
          <w:cols w:num="2" w:equalWidth="0">
            <w:col w:w="3529" w:space="339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Strategic business development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market</w:t>
      </w:r>
    </w:p>
    <w:p>
      <w:pPr>
        <w:pStyle w:val="BodyText"/>
        <w:spacing w:line="93" w:lineRule="exact" w:before="40"/>
        <w:ind w:left="873"/>
      </w:pPr>
      <w:r>
        <w:rPr>
          <w:spacing w:val="-2"/>
          <w:w w:val="105"/>
        </w:rPr>
        <w:t>penetration</w:t>
      </w:r>
    </w:p>
    <w:p>
      <w:pPr>
        <w:pStyle w:val="BodyText"/>
        <w:spacing w:line="203" w:lineRule="exact"/>
        <w:ind w:left="576"/>
      </w:pPr>
      <w:r>
        <w:rPr/>
        <w:br w:type="column"/>
      </w:r>
      <w:r>
        <w:rPr>
          <w:w w:val="105"/>
        </w:rPr>
        <w:t>Sales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Marketing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Associate</w:t>
      </w:r>
    </w:p>
    <w:p>
      <w:pPr>
        <w:pStyle w:val="BodyText"/>
        <w:spacing w:before="21"/>
        <w:ind w:left="576"/>
      </w:pPr>
      <w:r>
        <w:rPr/>
        <w:t>Coca-Cola</w:t>
      </w:r>
      <w:r>
        <w:rPr>
          <w:spacing w:val="24"/>
        </w:rPr>
        <w:t> </w:t>
      </w:r>
      <w:r>
        <w:rPr/>
        <w:t>|</w:t>
      </w:r>
      <w:r>
        <w:rPr>
          <w:spacing w:val="24"/>
        </w:rPr>
        <w:t> </w:t>
      </w:r>
      <w:r>
        <w:rPr/>
        <w:t>Atlanta,</w:t>
      </w:r>
      <w:r>
        <w:rPr>
          <w:spacing w:val="25"/>
        </w:rPr>
        <w:t> </w:t>
      </w:r>
      <w:r>
        <w:rPr/>
        <w:t>GA,</w:t>
      </w:r>
      <w:r>
        <w:rPr>
          <w:spacing w:val="68"/>
          <w:w w:val="150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May</w:t>
      </w:r>
      <w:r>
        <w:rPr>
          <w:spacing w:val="24"/>
        </w:rPr>
        <w:t> </w:t>
      </w:r>
      <w:r>
        <w:rPr/>
        <w:t>2015</w:t>
      </w:r>
      <w:r>
        <w:rPr>
          <w:spacing w:val="24"/>
        </w:rPr>
        <w:t> </w:t>
      </w:r>
      <w:r>
        <w:rPr/>
        <w:t>–</w:t>
      </w:r>
      <w:r>
        <w:rPr>
          <w:spacing w:val="25"/>
        </w:rPr>
        <w:t> </w:t>
      </w:r>
      <w:r>
        <w:rPr/>
        <w:t>June</w:t>
      </w:r>
      <w:r>
        <w:rPr>
          <w:spacing w:val="24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069" w:space="800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89" w:after="0"/>
        <w:ind w:left="873" w:right="360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19362"/>
                            <a:ext cx="95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86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487"/>
                                </a:lnTo>
                                <a:lnTo>
                                  <a:pt x="0" y="5676887"/>
                                </a:lnTo>
                                <a:lnTo>
                                  <a:pt x="0" y="8286724"/>
                                </a:lnTo>
                                <a:lnTo>
                                  <a:pt x="9525" y="8286724"/>
                                </a:lnTo>
                                <a:lnTo>
                                  <a:pt x="9525" y="5676887"/>
                                </a:lnTo>
                                <a:lnTo>
                                  <a:pt x="9525" y="1904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717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79158" y="352425"/>
                                </a:lnTo>
                                <a:lnTo>
                                  <a:pt x="4901184" y="352425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574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8096249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41210" y="379971"/>
                                </a:lnTo>
                                <a:lnTo>
                                  <a:pt x="372110" y="352882"/>
                                </a:lnTo>
                                <a:lnTo>
                                  <a:pt x="372516" y="352425"/>
                                </a:lnTo>
                                <a:lnTo>
                                  <a:pt x="4901184" y="35242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81724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19349"/>
                            <a:ext cx="9525" cy="725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258050">
                                <a:moveTo>
                                  <a:pt x="9524" y="7258049"/>
                                </a:moveTo>
                                <a:lnTo>
                                  <a:pt x="0" y="7258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258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098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765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14349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38100"/>
                                </a:moveTo>
                                <a:lnTo>
                                  <a:pt x="549198" y="38100"/>
                                </a:lnTo>
                                <a:lnTo>
                                  <a:pt x="539330" y="31508"/>
                                </a:lnTo>
                                <a:lnTo>
                                  <a:pt x="533450" y="27978"/>
                                </a:lnTo>
                                <a:lnTo>
                                  <a:pt x="496011" y="11023"/>
                                </a:lnTo>
                                <a:lnTo>
                                  <a:pt x="455993" y="168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850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2196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3" coordorigin="0,0" coordsize="11919,16860">
                <v:shape style="position:absolute;left:3734;top:3810;width:15;height:13050" id="docshape4" coordorigin="3735,3810" coordsize="15,13050" path="m3750,3810l3735,3810,3735,4110,3735,12750,3735,16860,3750,16860,3750,12750,3750,4110,3750,3810xe" filled="true" fillcolor="#000000" stroked="false">
                  <v:path arrowok="t"/>
                  <v:fill type="solid"/>
                </v:shape>
                <v:rect style="position:absolute;left:0;top:0;width:11919;height:3810" id="docshape5" filled="true" fillcolor="#424242" stroked="false">
                  <v:fill type="solid"/>
                </v:rect>
                <v:shape style="position:absolute;left:4199;top:4050;width:7719;height:675" id="docshape6" coordorigin="4200,4050" coordsize="7719,675" path="m11918,4155l4784,4155,4769,4140,4761,4133,4708,4095,4648,4068,4584,4053,4551,4050,4524,4050,4459,4059,4396,4080,4340,4112,4290,4156,4250,4208,4221,4267,4204,4330,4200,4390,4200,4401,4209,4466,4230,4529,4262,4585,4306,4635,4358,4675,4417,4704,4480,4721,4524,4725,4551,4725,4616,4716,4679,4695,4735,4663,4785,4619,4797,4605,11918,4605,11918,4155xe" filled="true" fillcolor="#8259b0" stroked="false">
                  <v:path arrowok="t"/>
                  <v:fill type="solid"/>
                </v:shape>
                <v:shape style="position:absolute;left:4335;top:4185;width:405;height:405" type="#_x0000_t75" id="docshape7" stroked="false">
                  <v:imagedata r:id="rId6" o:title=""/>
                </v:shape>
                <v:shape style="position:absolute;left:4199;top:12750;width:7719;height:660" id="docshape8" coordorigin="4200,12750" coordsize="7719,660" path="m11918,12855l4787,12855,4786,12854,4771,12839,4719,12800,4661,12771,4599,12754,4556,12750,4519,12750,4455,12758,4394,12779,4338,12812,4289,12854,4250,12906,4221,12964,4204,13026,4200,13080,4200,13091,4208,13155,4229,13216,4262,13272,4304,13321,4356,13360,4414,13389,4476,13406,4519,13410,4556,13410,4620,13402,4681,13381,4737,13348,4786,13306,4787,13305,11918,13305,11918,12855xe" filled="true" fillcolor="#8259b0" stroked="false">
                  <v:path arrowok="t"/>
                  <v:fill type="solid"/>
                </v:shape>
                <v:shape style="position:absolute;left:4320;top:12870;width:435;height:420" type="#_x0000_t75" id="docshape9" stroked="false">
                  <v:imagedata r:id="rId7" o:title=""/>
                </v:shape>
                <v:rect style="position:absolute;left:3735;top:3810;width:15;height:11430" id="docshape10" filled="true" fillcolor="#000000" stroked="false">
                  <v:fill type="solid"/>
                </v:rect>
                <v:shape style="position:absolute;left:0;top:4110;width:3525;height:660" id="docshape11" coordorigin="0,4110" coordsize="3525,660" path="m3525,4185l884,4185,876,4178,867,4172,811,4139,750,4118,686,4110,649,4110,585,4118,524,4139,468,4172,451,4185,0,4185,0,4665,418,4665,419,4666,468,4708,524,4741,585,4762,649,4770,686,4770,750,4762,811,4741,867,4708,916,4666,917,4665,3525,4665,3525,4185xe" filled="true" fillcolor="#8259b0" stroked="false">
                  <v:path arrowok="t"/>
                  <v:fill type="solid"/>
                </v:shape>
                <v:shape style="position:absolute;left:450;top:4215;width:435;height:450" type="#_x0000_t75" id="docshape12" stroked="false">
                  <v:imagedata r:id="rId8" o:title=""/>
                </v:shape>
                <v:shape style="position:absolute;left:0;top:8100;width:3525;height:660" id="docshape13" coordorigin="0,8100" coordsize="3525,660" path="m3525,8160l865,8160,849,8150,840,8144,781,8117,718,8103,686,8100,649,8100,585,8108,524,8129,470,8160,0,8160,0,8655,418,8655,419,8656,468,8698,524,8731,585,8752,649,8760,686,8760,750,8752,811,8731,867,8698,916,8656,917,8655,3525,8655,3525,8160xe" filled="true" fillcolor="#8259b0" stroked="false">
                  <v:path arrowok="t"/>
                  <v:fill type="solid"/>
                </v:shape>
                <v:shape style="position:absolute;left:450;top:8220;width:435;height:420" type="#_x0000_t75" id="docshape1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Pipeline management and territory planning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190" w:hanging="298"/>
        <w:jc w:val="left"/>
        <w:rPr>
          <w:sz w:val="18"/>
        </w:rPr>
      </w:pPr>
      <w:r>
        <w:rPr>
          <w:w w:val="105"/>
          <w:sz w:val="18"/>
        </w:rPr>
        <w:t>Competitive market analysis and positioning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746" w:hanging="298"/>
        <w:jc w:val="left"/>
        <w:rPr>
          <w:sz w:val="18"/>
        </w:rPr>
      </w:pPr>
      <w:r>
        <w:rPr>
          <w:w w:val="105"/>
          <w:sz w:val="18"/>
        </w:rPr>
        <w:t>Client acquisition and targeted outreach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1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Cross-functional collaboration with sales and marketing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450" w:hanging="298"/>
        <w:jc w:val="left"/>
        <w:rPr>
          <w:sz w:val="18"/>
        </w:rPr>
      </w:pPr>
      <w:r>
        <w:rPr>
          <w:w w:val="105"/>
          <w:sz w:val="18"/>
        </w:rPr>
        <w:t>Contract negotiation and partnership development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80" w:hanging="298"/>
        <w:jc w:val="left"/>
        <w:rPr>
          <w:sz w:val="18"/>
        </w:rPr>
      </w:pPr>
      <w:r>
        <w:rPr>
          <w:w w:val="105"/>
          <w:sz w:val="18"/>
        </w:rPr>
        <w:t>Revenue growth strategy and performance tracking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39" w:after="0"/>
        <w:ind w:left="1004" w:right="27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in sales strategy development contributing to a 10% annual sales increase, supporting $22 million in total revenue across the Southeast region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82" w:after="0"/>
        <w:ind w:left="1004" w:right="245" w:hanging="298"/>
        <w:jc w:val="left"/>
        <w:rPr>
          <w:position w:val="-4"/>
          <w:sz w:val="31"/>
        </w:rPr>
      </w:pPr>
      <w:r>
        <w:rPr>
          <w:w w:val="105"/>
          <w:sz w:val="18"/>
        </w:rPr>
        <w:t>Expanded client base by 25% through targeted outreach campaigns, adding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60+ new accounts over 2 years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9" w:after="0"/>
        <w:ind w:left="1004" w:right="9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market analysis that improved forecast accuracy by 30%,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inventory overruns and out-of-stock incidents by 18%</w:t>
      </w: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1"/>
        <w:spacing w:before="1"/>
        <w:ind w:left="1115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37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(CBDP)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PMP,</w:t>
      </w:r>
      <w:r>
        <w:rPr>
          <w:spacing w:val="34"/>
          <w:sz w:val="18"/>
        </w:rPr>
        <w:t> </w:t>
      </w:r>
      <w:r>
        <w:rPr>
          <w:sz w:val="18"/>
        </w:rPr>
        <w:t>Project</w:t>
      </w:r>
      <w:r>
        <w:rPr>
          <w:spacing w:val="34"/>
          <w:sz w:val="18"/>
        </w:rPr>
        <w:t> </w:t>
      </w:r>
      <w:r>
        <w:rPr>
          <w:sz w:val="18"/>
        </w:rPr>
        <w:t>Management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Institute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(CSLP)</w:t>
      </w:r>
    </w:p>
    <w:sectPr>
      <w:type w:val="continuous"/>
      <w:pgSz w:w="11920" w:h="16860"/>
      <w:pgMar w:top="420" w:bottom="280" w:left="0" w:right="141"/>
      <w:cols w:num="2" w:equalWidth="0">
        <w:col w:w="3498" w:space="370"/>
        <w:col w:w="79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66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2026-03-23T13:47:06Z</dcterms:created>
  <dcterms:modified xsi:type="dcterms:W3CDTF">2026-03-23T13:47:06Z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