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58"/>
        <w:rPr>
          <w:rFonts w:ascii="Times New Roman"/>
          <w:sz w:val="67"/>
        </w:rPr>
      </w:pPr>
    </w:p>
    <w:p>
      <w:pPr>
        <w:pStyle w:val="Heading1"/>
      </w:pPr>
      <w:r>
        <w:rPr>
          <w:color w:val="C24B8B"/>
        </w:rPr>
        <w:t>Emily</w:t>
      </w:r>
      <w:r>
        <w:rPr>
          <w:color w:val="C24B8B"/>
          <w:spacing w:val="-23"/>
        </w:rPr>
        <w:t> </w:t>
      </w:r>
      <w:r>
        <w:rPr>
          <w:color w:val="C24B8B"/>
          <w:spacing w:val="-2"/>
        </w:rPr>
        <w:t>Rodriguez</w:t>
      </w:r>
    </w:p>
    <w:p>
      <w:pPr>
        <w:pStyle w:val="BodyText"/>
        <w:spacing w:before="52"/>
        <w:rPr>
          <w:b/>
          <w:sz w:val="18"/>
        </w:rPr>
      </w:pPr>
    </w:p>
    <w:p>
      <w:pPr>
        <w:spacing w:before="0"/>
        <w:ind w:left="6393" w:right="0" w:firstLine="0"/>
        <w:jc w:val="left"/>
        <w:rPr>
          <w:sz w:val="18"/>
        </w:rPr>
      </w:pPr>
      <w:r>
        <w:rPr>
          <w:color w:val="C24B8B"/>
          <w:sz w:val="18"/>
        </w:rPr>
        <w:t>Business</w:t>
      </w:r>
      <w:r>
        <w:rPr>
          <w:color w:val="C24B8B"/>
          <w:spacing w:val="16"/>
          <w:sz w:val="18"/>
        </w:rPr>
        <w:t> </w:t>
      </w:r>
      <w:r>
        <w:rPr>
          <w:color w:val="C24B8B"/>
          <w:sz w:val="18"/>
        </w:rPr>
        <w:t>Intelligence</w:t>
      </w:r>
      <w:r>
        <w:rPr>
          <w:color w:val="C24B8B"/>
          <w:spacing w:val="17"/>
          <w:sz w:val="18"/>
        </w:rPr>
        <w:t> </w:t>
      </w:r>
      <w:r>
        <w:rPr>
          <w:color w:val="C24B8B"/>
          <w:spacing w:val="-2"/>
          <w:sz w:val="18"/>
        </w:rPr>
        <w:t>Manager</w:t>
      </w:r>
    </w:p>
    <w:p>
      <w:pPr>
        <w:pStyle w:val="BodyText"/>
        <w:spacing w:before="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5812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1275" h="10706100">
                              <a:moveTo>
                                <a:pt x="25812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581274" y="0"/>
                              </a:lnTo>
                              <a:lnTo>
                                <a:pt x="25812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4B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3.249984pt;height:842.999933pt;mso-position-horizontal-relative:page;mso-position-vertical-relative:page;z-index:-15802880" id="docshape1" filled="true" fillcolor="#c24b8b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24955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2495550"/>
                          <a:chExt cx="2571750" cy="24955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196.5pt;mso-position-horizontal-relative:page;mso-position-vertical-relative:page;z-index:15730688" id="docshapegroup2" coordorigin="0,0" coordsize="4050,3930"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c24b8b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3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Chicago,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5"/>
          <w:sz w:val="18"/>
        </w:rPr>
        <w:t>IL</w:t>
      </w:r>
    </w:p>
    <w:p>
      <w:pPr>
        <w:pStyle w:val="BodyText"/>
        <w:spacing w:before="6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438149</wp:posOffset>
                </wp:positionH>
                <wp:positionV relativeFrom="paragraph">
                  <wp:posOffset>99538</wp:posOffset>
                </wp:positionV>
                <wp:extent cx="10763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37656pt;width:84.749993pt;height:.75pt;mso-position-horizontal-relative:page;mso-position-vertical-relative:paragraph;z-index:-15728640;mso-wrap-distance-left:0;mso-wrap-distance-right:0" id="docshape7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6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438149</wp:posOffset>
                </wp:positionH>
                <wp:positionV relativeFrom="paragraph">
                  <wp:posOffset>99717</wp:posOffset>
                </wp:positionV>
                <wp:extent cx="10763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51754pt;width:84.749993pt;height:.75pt;mso-position-horizontal-relative:page;mso-position-vertical-relative:paragraph;z-index:-15728128;mso-wrap-distance-left:0;mso-wrap-distance-right:0" id="docshape8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44"/>
        <w:rPr>
          <w:sz w:val="18"/>
        </w:rPr>
      </w:pPr>
    </w:p>
    <w:p>
      <w:pPr>
        <w:pStyle w:val="Heading2"/>
        <w:spacing w:before="1"/>
      </w:pPr>
      <w:r>
        <w:rPr>
          <w:color w:val="FFFFFF"/>
          <w:spacing w:val="-2"/>
        </w:rPr>
        <w:t>Education</w:t>
      </w:r>
    </w:p>
    <w:p>
      <w:pPr>
        <w:spacing w:line="268" w:lineRule="auto" w:before="185"/>
        <w:ind w:left="404" w:right="41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Chicago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Booth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 </w:t>
      </w:r>
      <w:r>
        <w:rPr>
          <w:color w:val="FFFFFF"/>
          <w:w w:val="105"/>
          <w:sz w:val="18"/>
        </w:rPr>
        <w:t>of Business | Chicago, IL | May </w:t>
      </w:r>
      <w:r>
        <w:rPr>
          <w:color w:val="FFFFFF"/>
          <w:spacing w:val="-4"/>
          <w:w w:val="105"/>
          <w:sz w:val="18"/>
        </w:rPr>
        <w:t>2010</w:t>
      </w:r>
    </w:p>
    <w:p>
      <w:pPr>
        <w:pStyle w:val="BodyText"/>
        <w:spacing w:before="27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r>
        <w:rPr>
          <w:color w:val="FFFFFF"/>
          <w:spacing w:val="-5"/>
          <w:w w:val="105"/>
          <w:sz w:val="18"/>
        </w:rPr>
        <w:t>MBA</w:t>
      </w:r>
    </w:p>
    <w:p>
      <w:pPr>
        <w:pStyle w:val="BodyText"/>
        <w:spacing w:before="6"/>
        <w:rPr>
          <w:sz w:val="18"/>
        </w:rPr>
      </w:pPr>
    </w:p>
    <w:p>
      <w:pPr>
        <w:spacing w:line="261" w:lineRule="auto" w:before="1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Illinois, Urbana-</w:t>
      </w:r>
      <w:r>
        <w:rPr>
          <w:color w:val="FFFFFF"/>
          <w:spacing w:val="-2"/>
          <w:w w:val="105"/>
          <w:sz w:val="18"/>
        </w:rPr>
        <w:t>Champaign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Urbana-Champaign,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IL</w:t>
      </w:r>
    </w:p>
    <w:p>
      <w:pPr>
        <w:spacing w:before="13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2006</w:t>
      </w:r>
    </w:p>
    <w:p>
      <w:pPr>
        <w:pStyle w:val="BodyText"/>
        <w:spacing w:before="51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BS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</w:t>
      </w:r>
    </w:p>
    <w:p>
      <w:pPr>
        <w:pStyle w:val="BodyText"/>
        <w:spacing w:before="55"/>
        <w:rPr>
          <w:sz w:val="18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2"/>
        </w:rPr>
        <w:t> Skills</w:t>
      </w:r>
    </w:p>
    <w:p>
      <w:pPr>
        <w:tabs>
          <w:tab w:pos="702" w:val="left" w:leader="none"/>
        </w:tabs>
        <w:spacing w:line="278" w:lineRule="auto" w:before="185"/>
        <w:ind w:left="702" w:right="129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Data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visualization </w:t>
      </w:r>
      <w:r>
        <w:rPr>
          <w:color w:val="FFFFFF"/>
          <w:w w:val="105"/>
          <w:sz w:val="18"/>
        </w:rPr>
        <w:t>(Tableau, Power BI, SQL)</w:t>
      </w:r>
    </w:p>
    <w:p>
      <w:pPr>
        <w:tabs>
          <w:tab w:pos="702" w:val="left" w:leader="none"/>
        </w:tabs>
        <w:spacing w:line="278" w:lineRule="auto" w:before="75"/>
        <w:ind w:left="702" w:right="274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intelligence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 </w:t>
      </w:r>
      <w:r>
        <w:rPr>
          <w:color w:val="FFFFFF"/>
          <w:w w:val="105"/>
          <w:sz w:val="18"/>
        </w:rPr>
        <w:t>and platform roadmapping</w:t>
      </w:r>
    </w:p>
    <w:p>
      <w:pPr>
        <w:tabs>
          <w:tab w:pos="702" w:val="left" w:leader="none"/>
        </w:tabs>
        <w:spacing w:line="261" w:lineRule="auto" w:before="90"/>
        <w:ind w:left="702" w:right="377" w:hanging="296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Analytics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and development</w:t>
      </w:r>
    </w:p>
    <w:p>
      <w:pPr>
        <w:tabs>
          <w:tab w:pos="702" w:val="left" w:leader="none"/>
        </w:tabs>
        <w:spacing w:line="261" w:lineRule="auto" w:before="104"/>
        <w:ind w:left="702" w:right="274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Executive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dashboard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creation </w:t>
      </w:r>
      <w:r>
        <w:rPr>
          <w:color w:val="FFFFFF"/>
          <w:w w:val="105"/>
          <w:sz w:val="18"/>
        </w:rPr>
        <w:t>and KPI framework design</w:t>
      </w:r>
    </w:p>
    <w:p>
      <w:pPr>
        <w:tabs>
          <w:tab w:pos="702" w:val="left" w:leader="none"/>
        </w:tabs>
        <w:spacing w:line="278" w:lineRule="auto" w:before="104"/>
        <w:ind w:left="702" w:right="460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  <w:sz w:val="18"/>
        </w:rPr>
        <w:t>Strategic decision-making </w:t>
      </w:r>
      <w:r>
        <w:rPr>
          <w:color w:val="FFFFFF"/>
          <w:spacing w:val="-2"/>
          <w:w w:val="105"/>
          <w:sz w:val="18"/>
        </w:rPr>
        <w:t>support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insight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delivery</w:t>
      </w:r>
    </w:p>
    <w:p>
      <w:pPr>
        <w:tabs>
          <w:tab w:pos="702" w:val="left" w:leader="none"/>
        </w:tabs>
        <w:spacing w:line="261" w:lineRule="auto" w:before="89"/>
        <w:ind w:left="702" w:right="243" w:hanging="296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Data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quality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governance</w:t>
      </w:r>
    </w:p>
    <w:p>
      <w:pPr>
        <w:tabs>
          <w:tab w:pos="702" w:val="left" w:leader="none"/>
        </w:tabs>
        <w:spacing w:line="261" w:lineRule="auto" w:before="104"/>
        <w:ind w:left="702" w:right="529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ETL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pipeline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oversight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warehouse coordination</w:t>
      </w:r>
    </w:p>
    <w:p>
      <w:pPr>
        <w:tabs>
          <w:tab w:pos="702" w:val="left" w:leader="none"/>
        </w:tabs>
        <w:spacing w:line="278" w:lineRule="auto" w:before="104"/>
        <w:ind w:left="702" w:right="67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Stakeholder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business alignment</w:t>
      </w:r>
    </w:p>
    <w:p>
      <w:pPr>
        <w:spacing w:line="268" w:lineRule="auto" w:before="74"/>
        <w:ind w:left="215" w:right="444" w:hanging="1"/>
        <w:jc w:val="center"/>
        <w:rPr>
          <w:sz w:val="18"/>
        </w:rPr>
      </w:pPr>
      <w:r>
        <w:rPr/>
        <w:br w:type="column"/>
      </w:r>
      <w:r>
        <w:rPr>
          <w:color w:val="C24B8B"/>
          <w:w w:val="105"/>
          <w:sz w:val="18"/>
        </w:rPr>
        <w:t>Experienced</w:t>
      </w:r>
      <w:r>
        <w:rPr>
          <w:color w:val="C24B8B"/>
          <w:spacing w:val="-1"/>
          <w:w w:val="105"/>
          <w:sz w:val="18"/>
        </w:rPr>
        <w:t> </w:t>
      </w:r>
      <w:r>
        <w:rPr>
          <w:color w:val="C24B8B"/>
          <w:w w:val="105"/>
          <w:sz w:val="18"/>
        </w:rPr>
        <w:t>business</w:t>
      </w:r>
      <w:r>
        <w:rPr>
          <w:color w:val="C24B8B"/>
          <w:spacing w:val="-1"/>
          <w:w w:val="105"/>
          <w:sz w:val="18"/>
        </w:rPr>
        <w:t> </w:t>
      </w:r>
      <w:r>
        <w:rPr>
          <w:color w:val="C24B8B"/>
          <w:w w:val="105"/>
          <w:sz w:val="18"/>
        </w:rPr>
        <w:t>intelligence</w:t>
      </w:r>
      <w:r>
        <w:rPr>
          <w:color w:val="C24B8B"/>
          <w:spacing w:val="-1"/>
          <w:w w:val="105"/>
          <w:sz w:val="18"/>
        </w:rPr>
        <w:t> </w:t>
      </w:r>
      <w:r>
        <w:rPr>
          <w:color w:val="C24B8B"/>
          <w:w w:val="105"/>
          <w:sz w:val="18"/>
        </w:rPr>
        <w:t>manager</w:t>
      </w:r>
      <w:r>
        <w:rPr>
          <w:color w:val="C24B8B"/>
          <w:spacing w:val="-1"/>
          <w:w w:val="105"/>
          <w:sz w:val="18"/>
        </w:rPr>
        <w:t> </w:t>
      </w:r>
      <w:r>
        <w:rPr>
          <w:color w:val="C24B8B"/>
          <w:w w:val="105"/>
          <w:sz w:val="18"/>
        </w:rPr>
        <w:t>with</w:t>
      </w:r>
      <w:r>
        <w:rPr>
          <w:color w:val="C24B8B"/>
          <w:spacing w:val="-1"/>
          <w:w w:val="105"/>
          <w:sz w:val="18"/>
        </w:rPr>
        <w:t> </w:t>
      </w:r>
      <w:r>
        <w:rPr>
          <w:color w:val="C24B8B"/>
          <w:w w:val="105"/>
          <w:sz w:val="18"/>
        </w:rPr>
        <w:t>8+</w:t>
      </w:r>
      <w:r>
        <w:rPr>
          <w:color w:val="C24B8B"/>
          <w:spacing w:val="-1"/>
          <w:w w:val="105"/>
          <w:sz w:val="18"/>
        </w:rPr>
        <w:t> </w:t>
      </w:r>
      <w:r>
        <w:rPr>
          <w:color w:val="C24B8B"/>
          <w:w w:val="105"/>
          <w:sz w:val="18"/>
        </w:rPr>
        <w:t>years</w:t>
      </w:r>
      <w:r>
        <w:rPr>
          <w:color w:val="C24B8B"/>
          <w:spacing w:val="-1"/>
          <w:w w:val="105"/>
          <w:sz w:val="18"/>
        </w:rPr>
        <w:t> </w:t>
      </w:r>
      <w:r>
        <w:rPr>
          <w:color w:val="C24B8B"/>
          <w:w w:val="105"/>
          <w:sz w:val="18"/>
        </w:rPr>
        <w:t>driving</w:t>
      </w:r>
      <w:r>
        <w:rPr>
          <w:color w:val="C24B8B"/>
          <w:spacing w:val="-1"/>
          <w:w w:val="105"/>
          <w:sz w:val="18"/>
        </w:rPr>
        <w:t> </w:t>
      </w:r>
      <w:r>
        <w:rPr>
          <w:color w:val="C24B8B"/>
          <w:w w:val="105"/>
          <w:sz w:val="18"/>
        </w:rPr>
        <w:t>data-driven </w:t>
      </w:r>
      <w:r>
        <w:rPr>
          <w:color w:val="C24B8B"/>
          <w:spacing w:val="-2"/>
          <w:w w:val="105"/>
          <w:sz w:val="18"/>
        </w:rPr>
        <w:t>decision-making across enterprise consulting environments. Increased data-driven </w:t>
      </w:r>
      <w:r>
        <w:rPr>
          <w:color w:val="C24B8B"/>
          <w:w w:val="105"/>
          <w:sz w:val="18"/>
        </w:rPr>
        <w:t>decisions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by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30%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and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improved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KPI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tracking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by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25%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at</w:t>
      </w:r>
      <w:r>
        <w:rPr>
          <w:color w:val="C24B8B"/>
          <w:spacing w:val="-13"/>
          <w:w w:val="105"/>
          <w:sz w:val="18"/>
        </w:rPr>
        <w:t> </w:t>
      </w:r>
      <w:r>
        <w:rPr>
          <w:color w:val="C24B8B"/>
          <w:w w:val="105"/>
          <w:sz w:val="18"/>
        </w:rPr>
        <w:t>Accenture,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and</w:t>
      </w:r>
      <w:r>
        <w:rPr>
          <w:color w:val="C24B8B"/>
          <w:spacing w:val="-3"/>
          <w:w w:val="105"/>
          <w:sz w:val="18"/>
        </w:rPr>
        <w:t> </w:t>
      </w:r>
      <w:r>
        <w:rPr>
          <w:color w:val="C24B8B"/>
          <w:w w:val="105"/>
          <w:sz w:val="18"/>
        </w:rPr>
        <w:t>improved reporting accuracy by 20% across client engagements at Deloitte. MBA</w:t>
      </w:r>
      <w:r>
        <w:rPr>
          <w:color w:val="C24B8B"/>
          <w:spacing w:val="-11"/>
          <w:w w:val="105"/>
          <w:sz w:val="18"/>
        </w:rPr>
        <w:t> </w:t>
      </w:r>
      <w:r>
        <w:rPr>
          <w:color w:val="C24B8B"/>
          <w:w w:val="105"/>
          <w:sz w:val="18"/>
        </w:rPr>
        <w:t>from University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of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Chicago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Booth,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BS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in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Business</w:t>
      </w:r>
      <w:r>
        <w:rPr>
          <w:color w:val="C24B8B"/>
          <w:spacing w:val="-12"/>
          <w:w w:val="105"/>
          <w:sz w:val="18"/>
        </w:rPr>
        <w:t> </w:t>
      </w:r>
      <w:r>
        <w:rPr>
          <w:color w:val="C24B8B"/>
          <w:w w:val="105"/>
          <w:sz w:val="18"/>
        </w:rPr>
        <w:t>Analytics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from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University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of</w:t>
      </w:r>
      <w:r>
        <w:rPr>
          <w:color w:val="C24B8B"/>
          <w:spacing w:val="-2"/>
          <w:w w:val="105"/>
          <w:sz w:val="18"/>
        </w:rPr>
        <w:t> </w:t>
      </w:r>
      <w:r>
        <w:rPr>
          <w:color w:val="C24B8B"/>
          <w:w w:val="105"/>
          <w:sz w:val="18"/>
        </w:rPr>
        <w:t>Illinois.</w:t>
      </w:r>
    </w:p>
    <w:p>
      <w:pPr>
        <w:spacing w:line="261" w:lineRule="auto" w:before="11"/>
        <w:ind w:left="252" w:right="481" w:firstLine="0"/>
        <w:jc w:val="center"/>
        <w:rPr>
          <w:sz w:val="18"/>
        </w:rPr>
      </w:pPr>
      <w:r>
        <w:rPr>
          <w:color w:val="C24B8B"/>
          <w:spacing w:val="-2"/>
          <w:w w:val="105"/>
          <w:sz w:val="18"/>
        </w:rPr>
        <w:t>Expertise</w:t>
      </w:r>
      <w:r>
        <w:rPr>
          <w:color w:val="C24B8B"/>
          <w:spacing w:val="-4"/>
          <w:w w:val="105"/>
          <w:sz w:val="18"/>
        </w:rPr>
        <w:t> </w:t>
      </w:r>
      <w:r>
        <w:rPr>
          <w:color w:val="C24B8B"/>
          <w:spacing w:val="-2"/>
          <w:w w:val="105"/>
          <w:sz w:val="18"/>
        </w:rPr>
        <w:t>in</w:t>
      </w:r>
      <w:r>
        <w:rPr>
          <w:color w:val="C24B8B"/>
          <w:spacing w:val="-4"/>
          <w:w w:val="105"/>
          <w:sz w:val="18"/>
        </w:rPr>
        <w:t> </w:t>
      </w:r>
      <w:r>
        <w:rPr>
          <w:color w:val="C24B8B"/>
          <w:spacing w:val="-2"/>
          <w:w w:val="105"/>
          <w:sz w:val="18"/>
        </w:rPr>
        <w:t>BI</w:t>
      </w:r>
      <w:r>
        <w:rPr>
          <w:color w:val="C24B8B"/>
          <w:spacing w:val="-4"/>
          <w:w w:val="105"/>
          <w:sz w:val="18"/>
        </w:rPr>
        <w:t> </w:t>
      </w:r>
      <w:r>
        <w:rPr>
          <w:color w:val="C24B8B"/>
          <w:spacing w:val="-2"/>
          <w:w w:val="105"/>
          <w:sz w:val="18"/>
        </w:rPr>
        <w:t>strategy,</w:t>
      </w:r>
      <w:r>
        <w:rPr>
          <w:color w:val="C24B8B"/>
          <w:spacing w:val="-4"/>
          <w:w w:val="105"/>
          <w:sz w:val="18"/>
        </w:rPr>
        <w:t> </w:t>
      </w:r>
      <w:r>
        <w:rPr>
          <w:color w:val="C24B8B"/>
          <w:spacing w:val="-2"/>
          <w:w w:val="105"/>
          <w:sz w:val="18"/>
        </w:rPr>
        <w:t>analytics</w:t>
      </w:r>
      <w:r>
        <w:rPr>
          <w:color w:val="C24B8B"/>
          <w:spacing w:val="-4"/>
          <w:w w:val="105"/>
          <w:sz w:val="18"/>
        </w:rPr>
        <w:t> </w:t>
      </w:r>
      <w:r>
        <w:rPr>
          <w:color w:val="C24B8B"/>
          <w:spacing w:val="-2"/>
          <w:w w:val="105"/>
          <w:sz w:val="18"/>
        </w:rPr>
        <w:t>team</w:t>
      </w:r>
      <w:r>
        <w:rPr>
          <w:color w:val="C24B8B"/>
          <w:spacing w:val="-4"/>
          <w:w w:val="105"/>
          <w:sz w:val="18"/>
        </w:rPr>
        <w:t> </w:t>
      </w:r>
      <w:r>
        <w:rPr>
          <w:color w:val="C24B8B"/>
          <w:spacing w:val="-2"/>
          <w:w w:val="105"/>
          <w:sz w:val="18"/>
        </w:rPr>
        <w:t>management,</w:t>
      </w:r>
      <w:r>
        <w:rPr>
          <w:color w:val="C24B8B"/>
          <w:spacing w:val="-4"/>
          <w:w w:val="105"/>
          <w:sz w:val="18"/>
        </w:rPr>
        <w:t> </w:t>
      </w:r>
      <w:r>
        <w:rPr>
          <w:color w:val="C24B8B"/>
          <w:spacing w:val="-2"/>
          <w:w w:val="105"/>
          <w:sz w:val="18"/>
        </w:rPr>
        <w:t>dashboard</w:t>
      </w:r>
      <w:r>
        <w:rPr>
          <w:color w:val="C24B8B"/>
          <w:spacing w:val="-4"/>
          <w:w w:val="105"/>
          <w:sz w:val="18"/>
        </w:rPr>
        <w:t> </w:t>
      </w:r>
      <w:r>
        <w:rPr>
          <w:color w:val="C24B8B"/>
          <w:spacing w:val="-2"/>
          <w:w w:val="105"/>
          <w:sz w:val="18"/>
        </w:rPr>
        <w:t>development, </w:t>
      </w:r>
      <w:r>
        <w:rPr>
          <w:color w:val="C24B8B"/>
          <w:w w:val="105"/>
          <w:sz w:val="18"/>
        </w:rPr>
        <w:t>and translating complex data into actionable executive insights.</w:t>
      </w:r>
    </w:p>
    <w:p>
      <w:pPr>
        <w:pStyle w:val="BodyText"/>
        <w:spacing w:before="13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2819399</wp:posOffset>
                </wp:positionH>
                <wp:positionV relativeFrom="paragraph">
                  <wp:posOffset>249716</wp:posOffset>
                </wp:positionV>
                <wp:extent cx="461962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662706pt;width:363.749971pt;height:.75pt;mso-position-horizontal-relative:page;mso-position-vertical-relative:paragraph;z-index:-15727616;mso-wrap-distance-left:0;mso-wrap-distance-right:0" id="docshape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92"/>
        <w:rPr>
          <w:sz w:val="18"/>
        </w:rPr>
      </w:pPr>
    </w:p>
    <w:p>
      <w:pPr>
        <w:pStyle w:val="Heading2"/>
        <w:spacing w:before="1"/>
      </w:pPr>
      <w:r>
        <w:rPr>
          <w:color w:val="C24B8B"/>
        </w:rPr>
        <w:t>Professional</w:t>
      </w:r>
      <w:r>
        <w:rPr>
          <w:color w:val="C24B8B"/>
          <w:spacing w:val="-11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189"/>
        <w:ind w:left="311"/>
      </w:pPr>
      <w:r>
        <w:rPr>
          <w:spacing w:val="-2"/>
          <w:w w:val="105"/>
        </w:rPr>
        <w:t>Business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Intelligence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Manager,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Accenture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1"/>
      </w:pP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w w:val="105"/>
        </w:rPr>
        <w:t>2014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107" w:hanging="291"/>
        <w:jc w:val="left"/>
        <w:rPr>
          <w:sz w:val="16"/>
        </w:rPr>
      </w:pPr>
      <w:r>
        <w:rPr>
          <w:w w:val="105"/>
          <w:sz w:val="16"/>
        </w:rPr>
        <w:t>Developed and deployed BI strategies for 4 enterprise clients, increasing adoption of data-driven decision-making by 30% as tracked through executive reporting utilization </w:t>
      </w:r>
      <w:r>
        <w:rPr>
          <w:spacing w:val="-2"/>
          <w:w w:val="105"/>
          <w:sz w:val="16"/>
        </w:rPr>
        <w:t>metrics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348" w:hanging="291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analysts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build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Tableau and Power BI, improving KPI tracking accuracy by 25% and reducing manual reporting workload by 7 hours per week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91" w:hanging="291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C-suite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organizations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reﬁne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strategies using data insights, informing $10 million in annual investment decisions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256" w:hanging="291"/>
        <w:jc w:val="left"/>
        <w:rPr>
          <w:sz w:val="16"/>
        </w:rPr>
      </w:pPr>
      <w:r>
        <w:rPr>
          <w:w w:val="105"/>
          <w:sz w:val="16"/>
        </w:rPr>
        <w:t>Implemented data governance frameworks for 3 clients, reducing data quality errors by 35% and enabling consistent, audit-ready reporting across all reporting periods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910" w:hanging="291"/>
        <w:jc w:val="left"/>
        <w:rPr>
          <w:sz w:val="16"/>
        </w:rPr>
      </w:pPr>
      <w:r>
        <w:rPr>
          <w:w w:val="105"/>
          <w:sz w:val="16"/>
        </w:rPr>
        <w:t>Managed BI team budget of $800,000 and platform licensing for 150 users, renegotiating vendor contracts that reduced annual spend by 12%</w:t>
      </w:r>
    </w:p>
    <w:p>
      <w:pPr>
        <w:pStyle w:val="BodyText"/>
        <w:spacing w:before="102"/>
      </w:pPr>
    </w:p>
    <w:p>
      <w:pPr>
        <w:pStyle w:val="BodyText"/>
        <w:ind w:left="311"/>
      </w:pPr>
      <w:r>
        <w:rPr>
          <w:w w:val="105"/>
        </w:rPr>
        <w:t>BI</w:t>
      </w:r>
      <w:r>
        <w:rPr>
          <w:spacing w:val="-12"/>
          <w:w w:val="105"/>
        </w:rPr>
        <w:t> </w:t>
      </w:r>
      <w:r>
        <w:rPr>
          <w:w w:val="105"/>
        </w:rPr>
        <w:t>Analyst,</w:t>
      </w:r>
      <w:r>
        <w:rPr>
          <w:spacing w:val="-12"/>
          <w:w w:val="105"/>
        </w:rPr>
        <w:t> </w:t>
      </w:r>
      <w:r>
        <w:rPr>
          <w:w w:val="105"/>
        </w:rPr>
        <w:t>Deloitte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Chicago,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1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2006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176" w:hanging="291"/>
        <w:jc w:val="left"/>
        <w:rPr>
          <w:sz w:val="16"/>
        </w:rPr>
      </w:pPr>
      <w:r>
        <w:rPr>
          <w:w w:val="105"/>
          <w:sz w:val="16"/>
        </w:rPr>
        <w:t>Analyzed datasets across 8+ client industries to identify strategic trends, contributing insights that inﬂuenced $6 million in client investment decisions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194" w:hanging="291"/>
        <w:jc w:val="left"/>
        <w:rPr>
          <w:sz w:val="16"/>
        </w:rPr>
      </w:pPr>
      <w:r>
        <w:rPr>
          <w:w w:val="105"/>
          <w:sz w:val="16"/>
        </w:rPr>
        <w:t>Developed reporting tools and automated dashboards that increased client reporting accuracy by 20%, reducing weekly reporting effort by 5 hours per team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262" w:hanging="291"/>
        <w:jc w:val="left"/>
        <w:rPr>
          <w:sz w:val="16"/>
        </w:rPr>
      </w:pPr>
      <w:r>
        <w:rPr>
          <w:w w:val="105"/>
          <w:sz w:val="16"/>
        </w:rPr>
        <w:t>Provided actionable data insights to 4 departments per engagement, contributing to process improvements averaging 10% efﬁciency gains per project</w:t>
      </w:r>
    </w:p>
    <w:p>
      <w:pPr>
        <w:pStyle w:val="BodyText"/>
        <w:spacing w:before="176"/>
      </w:pPr>
    </w:p>
    <w:p>
      <w:pPr>
        <w:pStyle w:val="Heading2"/>
      </w:pPr>
      <w:r>
        <w:rPr>
          <w:color w:val="C24B8B"/>
          <w:spacing w:val="-2"/>
        </w:rPr>
        <w:t>Certiﬁcations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89" w:after="0"/>
        <w:ind w:left="888" w:right="0" w:hanging="291"/>
        <w:jc w:val="left"/>
        <w:rPr>
          <w:sz w:val="16"/>
        </w:rPr>
      </w:pPr>
      <w:r>
        <w:rPr>
          <w:spacing w:val="-2"/>
          <w:w w:val="105"/>
          <w:sz w:val="16"/>
        </w:rPr>
        <w:t>Certiﬁed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Business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Intelligence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Professional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(CBIP)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0" w:left="283" w:right="141"/>
          <w:cols w:num="2" w:equalWidth="0">
            <w:col w:w="3428" w:space="627"/>
            <w:col w:w="7441"/>
          </w:cols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5812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1275" h="10706100">
                              <a:moveTo>
                                <a:pt x="25812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581274" y="0"/>
                              </a:lnTo>
                              <a:lnTo>
                                <a:pt x="25812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4B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3.249984pt;height:842.999933pt;mso-position-horizontal-relative:page;mso-position-vertical-relative:page;z-index:-15801856" id="docshape10" filled="true" fillcolor="#c24b8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  <w:rPr>
          <w:sz w:val="18"/>
        </w:rPr>
      </w:pPr>
    </w:p>
    <w:p>
      <w:pPr>
        <w:tabs>
          <w:tab w:pos="702" w:val="left" w:leader="none"/>
        </w:tabs>
        <w:spacing w:line="278" w:lineRule="auto" w:before="0"/>
        <w:ind w:left="702" w:right="8651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Reporting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automation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process improvement</w:t>
      </w:r>
    </w:p>
    <w:sectPr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036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6"/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2026-03-23T15:24:09Z</dcterms:created>
  <dcterms:modified xsi:type="dcterms:W3CDTF">2026-03-23T15:24:09Z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