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3"/>
        <w:rPr>
          <w:rFonts w:ascii="Times New Roman"/>
          <w:sz w:val="78"/>
        </w:rPr>
      </w:pPr>
    </w:p>
    <w:p>
      <w:pPr>
        <w:spacing w:before="1"/>
        <w:ind w:left="4592" w:right="0" w:firstLine="0"/>
        <w:jc w:val="left"/>
        <w:rPr>
          <w:sz w:val="78"/>
        </w:rPr>
      </w:pPr>
      <w:r>
        <w:rPr>
          <w:b/>
          <w:color w:val="134E5C"/>
          <w:sz w:val="78"/>
        </w:rPr>
        <w:t>Sophia</w:t>
      </w:r>
      <w:r>
        <w:rPr>
          <w:b/>
          <w:color w:val="134E5C"/>
          <w:spacing w:val="-4"/>
          <w:sz w:val="78"/>
        </w:rPr>
        <w:t> </w:t>
      </w:r>
      <w:r>
        <w:rPr>
          <w:color w:val="134E5C"/>
          <w:spacing w:val="-2"/>
          <w:sz w:val="78"/>
        </w:rPr>
        <w:t>Hernandez</w:t>
      </w:r>
    </w:p>
    <w:p>
      <w:pPr>
        <w:spacing w:before="70"/>
        <w:ind w:left="7292" w:right="0" w:firstLine="0"/>
        <w:jc w:val="left"/>
        <w:rPr>
          <w:sz w:val="26"/>
        </w:rPr>
      </w:pPr>
      <w:r>
        <w:rPr>
          <w:sz w:val="26"/>
        </w:rPr>
        <w:t>Case </w:t>
      </w:r>
      <w:r>
        <w:rPr>
          <w:spacing w:val="-2"/>
          <w:sz w:val="26"/>
        </w:rPr>
        <w:t>Manager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84"/>
        <w:rPr>
          <w:sz w:val="28"/>
        </w:rPr>
      </w:pPr>
    </w:p>
    <w:p>
      <w:pPr>
        <w:pStyle w:val="Heading1"/>
      </w:pPr>
      <w:r>
        <w:rPr>
          <w:color w:val="FFFFFF"/>
          <w:spacing w:val="-5"/>
        </w:rPr>
        <w:t>CONTACT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Heading2"/>
        <w:spacing w:line="261" w:lineRule="auto"/>
      </w:pPr>
      <w:r>
        <w:rPr>
          <w:b w:val="0"/>
        </w:rPr>
        <w:br w:type="column"/>
      </w:r>
      <w:r>
        <w:rPr>
          <w:spacing w:val="-2"/>
          <w:w w:val="105"/>
        </w:rPr>
        <w:t>Resourceful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skilled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high-volume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caseload </w:t>
      </w:r>
      <w:r>
        <w:rPr>
          <w:w w:val="105"/>
        </w:rPr>
        <w:t>management and crisis response</w:t>
      </w:r>
    </w:p>
    <w:p>
      <w:pPr>
        <w:pStyle w:val="BodyText"/>
        <w:spacing w:line="261" w:lineRule="auto" w:before="89"/>
        <w:ind w:left="51" w:right="775"/>
        <w:jc w:val="center"/>
      </w:pPr>
      <w:r>
        <w:rPr>
          <w:w w:val="105"/>
        </w:rPr>
        <w:t>Case manager with eight years of experience managing high-volume caseloads, connecting clients to multi-sector resources, and delivering measurable positive outcomes for diverse at-risk populations. Skilled in </w:t>
      </w:r>
      <w:r>
        <w:rPr>
          <w:spacing w:val="-2"/>
          <w:w w:val="105"/>
        </w:rPr>
        <w:t>crisis management, documentation compliance, and mental health support </w:t>
      </w:r>
      <w:r>
        <w:rPr>
          <w:w w:val="105"/>
        </w:rPr>
        <w:t>across</w:t>
      </w:r>
      <w:r>
        <w:rPr>
          <w:spacing w:val="-14"/>
          <w:w w:val="105"/>
        </w:rPr>
        <w:t> </w:t>
      </w:r>
      <w:r>
        <w:rPr>
          <w:w w:val="105"/>
        </w:rPr>
        <w:t>social</w:t>
      </w:r>
      <w:r>
        <w:rPr>
          <w:spacing w:val="-13"/>
          <w:w w:val="105"/>
        </w:rPr>
        <w:t> </w:t>
      </w:r>
      <w:r>
        <w:rPr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settings.</w:t>
      </w:r>
      <w:r>
        <w:rPr>
          <w:spacing w:val="-13"/>
          <w:w w:val="105"/>
        </w:rPr>
        <w:t> </w:t>
      </w:r>
      <w:r>
        <w:rPr>
          <w:w w:val="105"/>
        </w:rPr>
        <w:t>Demonstrated</w:t>
      </w:r>
      <w:r>
        <w:rPr>
          <w:spacing w:val="-13"/>
          <w:w w:val="105"/>
        </w:rPr>
        <w:t> </w:t>
      </w:r>
      <w:r>
        <w:rPr>
          <w:w w:val="105"/>
        </w:rPr>
        <w:t>ability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reduce</w:t>
      </w:r>
      <w:r>
        <w:rPr>
          <w:spacing w:val="-14"/>
          <w:w w:val="105"/>
        </w:rPr>
        <w:t> </w:t>
      </w:r>
      <w:r>
        <w:rPr>
          <w:w w:val="105"/>
        </w:rPr>
        <w:t>emergency service reliance through proactive intervention and sustained client advocacy.</w:t>
      </w:r>
      <w:r>
        <w:rPr>
          <w:spacing w:val="-3"/>
          <w:w w:val="105"/>
        </w:rPr>
        <w:t> </w:t>
      </w:r>
      <w:r>
        <w:rPr>
          <w:w w:val="105"/>
        </w:rPr>
        <w:t>Committed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ensuring</w:t>
      </w:r>
      <w:r>
        <w:rPr>
          <w:spacing w:val="-3"/>
          <w:w w:val="105"/>
        </w:rPr>
        <w:t> </w:t>
      </w:r>
      <w:r>
        <w:rPr>
          <w:w w:val="105"/>
        </w:rPr>
        <w:t>every</w:t>
      </w:r>
      <w:r>
        <w:rPr>
          <w:spacing w:val="-3"/>
          <w:w w:val="105"/>
        </w:rPr>
        <w:t> </w:t>
      </w:r>
      <w:r>
        <w:rPr>
          <w:w w:val="105"/>
        </w:rPr>
        <w:t>client</w:t>
      </w:r>
      <w:r>
        <w:rPr>
          <w:spacing w:val="-3"/>
          <w:w w:val="105"/>
        </w:rPr>
        <w:t> </w:t>
      </w:r>
      <w:r>
        <w:rPr>
          <w:w w:val="105"/>
        </w:rPr>
        <w:t>receives</w:t>
      </w:r>
      <w:r>
        <w:rPr>
          <w:spacing w:val="-3"/>
          <w:w w:val="105"/>
        </w:rPr>
        <w:t> </w:t>
      </w:r>
      <w:r>
        <w:rPr>
          <w:w w:val="105"/>
        </w:rPr>
        <w:t>timely,</w:t>
      </w:r>
      <w:r>
        <w:rPr>
          <w:spacing w:val="-3"/>
          <w:w w:val="105"/>
        </w:rPr>
        <w:t> </w:t>
      </w:r>
      <w:r>
        <w:rPr>
          <w:w w:val="105"/>
        </w:rPr>
        <w:t>digniﬁed access to essential housing, healthcare, and community support.</w:t>
      </w:r>
    </w:p>
    <w:p>
      <w:pPr>
        <w:pStyle w:val="BodyText"/>
        <w:spacing w:after="0" w:line="261" w:lineRule="auto"/>
        <w:jc w:val="center"/>
        <w:sectPr>
          <w:type w:val="continuous"/>
          <w:pgSz w:w="11920" w:h="16860"/>
          <w:pgMar w:top="0" w:bottom="0" w:left="141" w:right="0"/>
          <w:cols w:num="2" w:equalWidth="0">
            <w:col w:w="3511" w:space="1135"/>
            <w:col w:w="7133"/>
          </w:cols>
        </w:sectPr>
      </w:pPr>
    </w:p>
    <w:p>
      <w:pPr>
        <w:pStyle w:val="BodyText"/>
        <w:spacing w:before="134"/>
      </w:pPr>
    </w:p>
    <w:p>
      <w:pPr>
        <w:pStyle w:val="BodyText"/>
        <w:spacing w:before="1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31623</wp:posOffset>
                </wp:positionV>
                <wp:extent cx="461581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2.490012pt;width:363.45pt;height:24.75pt;mso-position-horizontal-relative:page;mso-position-vertical-relative:paragraph;z-index:15729664" type="#_x0000_t202" id="docshape1" filled="true" fillcolor="#134e5c" stroked="false"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4"/>
                          <w:sz w:val="28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75"/>
        <w:ind w:left="1050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BodyText"/>
        <w:spacing w:before="126"/>
      </w:pPr>
    </w:p>
    <w:p>
      <w:pPr>
        <w:pStyle w:val="BodyText"/>
        <w:ind w:left="1050"/>
      </w:pP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TX,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78"/>
      </w:pPr>
      <w:r>
        <w:rPr/>
        <w:br w:type="column"/>
      </w:r>
      <w:r>
        <w:rPr/>
      </w:r>
    </w:p>
    <w:p>
      <w:pPr>
        <w:pStyle w:val="BodyText"/>
        <w:spacing w:line="261" w:lineRule="auto"/>
        <w:ind w:left="1050" w:right="3847"/>
      </w:pPr>
      <w:r>
        <w:rPr>
          <w:w w:val="105"/>
        </w:rPr>
        <w:t>Case</w:t>
      </w:r>
      <w:r>
        <w:rPr>
          <w:spacing w:val="-14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March</w:t>
      </w:r>
      <w:r>
        <w:rPr>
          <w:spacing w:val="-13"/>
          <w:w w:val="105"/>
        </w:rPr>
        <w:t> </w:t>
      </w:r>
      <w:r>
        <w:rPr>
          <w:w w:val="105"/>
        </w:rPr>
        <w:t>2018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Texas Care Solutions | Austin, TX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2829" w:space="891"/>
            <w:col w:w="8059"/>
          </w:cols>
        </w:sectPr>
      </w:pPr>
    </w:p>
    <w:p>
      <w:pPr>
        <w:pStyle w:val="BodyText"/>
        <w:spacing w:before="187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909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338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57187" y="5057774"/>
                            <a:ext cx="47625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00575">
                                <a:moveTo>
                                  <a:pt x="47625" y="4573409"/>
                                </a:moveTo>
                                <a:lnTo>
                                  <a:pt x="27165" y="4552950"/>
                                </a:lnTo>
                                <a:lnTo>
                                  <a:pt x="20472" y="4552950"/>
                                </a:lnTo>
                                <a:lnTo>
                                  <a:pt x="0" y="4573409"/>
                                </a:lnTo>
                                <a:lnTo>
                                  <a:pt x="0" y="4576991"/>
                                </a:lnTo>
                                <a:lnTo>
                                  <a:pt x="0" y="4580115"/>
                                </a:lnTo>
                                <a:lnTo>
                                  <a:pt x="20472" y="4600575"/>
                                </a:lnTo>
                                <a:lnTo>
                                  <a:pt x="27165" y="4600575"/>
                                </a:lnTo>
                                <a:lnTo>
                                  <a:pt x="47625" y="4580115"/>
                                </a:lnTo>
                                <a:lnTo>
                                  <a:pt x="47625" y="4573409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4230522"/>
                                </a:moveTo>
                                <a:lnTo>
                                  <a:pt x="27165" y="4210050"/>
                                </a:lnTo>
                                <a:lnTo>
                                  <a:pt x="20472" y="4210050"/>
                                </a:lnTo>
                                <a:lnTo>
                                  <a:pt x="0" y="4230522"/>
                                </a:lnTo>
                                <a:lnTo>
                                  <a:pt x="0" y="4234091"/>
                                </a:lnTo>
                                <a:lnTo>
                                  <a:pt x="0" y="4237215"/>
                                </a:lnTo>
                                <a:lnTo>
                                  <a:pt x="20472" y="4257675"/>
                                </a:lnTo>
                                <a:lnTo>
                                  <a:pt x="27165" y="4257675"/>
                                </a:lnTo>
                                <a:lnTo>
                                  <a:pt x="47625" y="4237215"/>
                                </a:lnTo>
                                <a:lnTo>
                                  <a:pt x="47625" y="42305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735222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22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392309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09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09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94688" id="docshapegroup2" coordorigin="0,0" coordsize="4410,16860">
                <v:rect style="position:absolute;left:0;top:0;width:4410;height:16860" id="docshape3" filled="true" fillcolor="#134e5c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6" o:title=""/>
                </v:shape>
                <v:shape style="position:absolute;left:720;top:5430;width:317;height:317" type="#_x0000_t75" id="docshape7" stroked="false">
                  <v:imagedata r:id="rId7" o:title=""/>
                </v:shape>
                <v:shape style="position:absolute;left:740;top:5970;width:275;height:317" type="#_x0000_t75" id="docshape8" stroked="false">
                  <v:imagedata r:id="rId8" o:title=""/>
                </v:shape>
                <v:shape style="position:absolute;left:721;top:6510;width:315;height:317" type="#_x0000_t75" id="docshape9" stroked="false">
                  <v:imagedata r:id="rId9" o:title=""/>
                </v:shape>
                <v:shape style="position:absolute;left:719;top:7965;width:75;height:7245" id="docshape10" coordorigin="720,7965" coordsize="75,7245" path="m795,15167l794,15162,790,15153,788,15149,781,15142,777,15140,768,15136,763,15135,752,15135,747,15136,738,15140,734,15142,727,15149,725,15153,721,15162,720,15167,720,15173,720,15178,721,15183,725,15192,727,15196,734,15203,738,15205,747,15209,752,15210,763,15210,768,15209,777,15205,781,15203,788,15196,790,15192,794,15183,795,15178,795,15167xm795,14627l794,14622,790,14613,788,14609,781,14602,777,14600,768,14596,763,14595,752,14595,747,14596,738,14600,734,14602,727,14609,725,14613,721,14622,720,14627,720,14633,720,14638,721,14643,725,14652,727,14656,734,14663,738,14665,747,14669,752,14670,763,14670,768,14669,777,14665,781,14663,788,14656,790,14652,794,14643,795,14638,795,14627xm795,13847l794,13842,790,13833,788,13829,781,13822,777,13820,768,13816,763,13815,752,13815,747,13816,738,13820,734,13822,727,13829,725,13833,721,13842,720,13847,720,13853,720,13858,721,13863,725,13872,727,13876,734,13883,738,13885,747,13889,752,13890,763,13890,768,13889,777,13885,781,13883,788,13876,790,13872,794,13863,795,13858,795,13847xm795,13307l794,13302,790,13293,788,13289,781,13282,777,13280,768,13276,763,13275,752,13275,747,13276,738,13280,734,13282,727,13289,725,13293,721,13302,720,13307,720,13313,720,13318,721,13323,725,13332,727,13336,734,13343,738,13345,747,13349,752,13350,763,13350,768,13349,777,13345,781,13343,788,13336,790,13332,794,13323,795,13318,795,13307xm795,12767l794,12762,790,12753,788,12749,781,12742,777,12740,768,12736,763,12735,752,12735,747,12736,738,12740,734,12742,727,12749,725,12753,721,12762,720,12767,720,12773,720,12778,721,12783,725,12792,727,12796,734,12803,738,12805,747,12809,752,12810,763,12810,768,12809,777,12805,781,12803,788,12796,790,12792,794,12783,795,12778,795,12767xm795,12227l794,12222,790,12213,788,12209,781,12202,777,12200,768,12196,763,12195,752,12195,747,12196,738,12200,734,12202,727,12209,725,12213,721,12222,720,12227,720,12233,720,12238,721,12243,725,12252,727,12256,734,12263,738,12265,747,12269,752,12270,763,12270,768,12269,777,12265,781,12263,788,12256,790,12252,794,12243,795,12238,795,12227xm795,11687l794,11682,790,11673,788,11669,781,11662,777,11660,768,11656,763,11655,752,11655,747,11656,738,11660,734,11662,727,11669,725,11673,721,11682,720,11687,720,11693,720,11698,721,11703,725,11712,727,11716,734,11723,738,11725,747,11729,752,11730,763,11730,768,11729,777,11725,781,11723,788,11716,790,11712,794,11703,795,11698,795,11687xm795,11132l794,11127,790,11118,788,11114,781,11107,777,11105,768,11101,763,11100,752,11100,747,11101,738,11105,734,11107,727,11114,725,11118,721,11127,720,11132,720,11138,720,11143,721,11148,725,11157,727,11161,734,11168,738,11170,747,11174,752,11175,763,11175,768,11174,777,11170,781,11168,788,11161,790,11157,794,11148,795,11143,795,11132xm795,7997l794,7992,790,7983,788,7979,781,7972,777,7970,768,7966,763,7965,752,7965,747,7966,738,7970,734,7972,727,7979,725,7983,721,7992,720,7997,720,8003,720,8008,721,8013,725,8022,727,8026,734,8033,738,8035,747,8039,752,8040,763,8040,768,8039,777,8035,781,8033,788,8026,790,8022,794,8013,795,8008,795,79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310" w:lineRule="atLeast" w:before="194"/>
        <w:ind w:left="882" w:right="1174"/>
      </w:pP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Psychology </w:t>
      </w:r>
      <w:r>
        <w:rPr>
          <w:color w:val="FFFFFF"/>
          <w:w w:val="105"/>
        </w:rPr>
        <w:t>May 2017</w:t>
      </w:r>
    </w:p>
    <w:p>
      <w:pPr>
        <w:pStyle w:val="BodyText"/>
        <w:spacing w:before="23"/>
        <w:ind w:left="882"/>
      </w:pPr>
      <w:r>
        <w:rPr>
          <w:color w:val="FFFFFF"/>
        </w:rPr>
        <w:t>University</w:t>
      </w:r>
      <w:r>
        <w:rPr>
          <w:color w:val="FFFFFF"/>
          <w:spacing w:val="6"/>
        </w:rPr>
        <w:t> </w:t>
      </w:r>
      <w:r>
        <w:rPr>
          <w:color w:val="FFFFFF"/>
        </w:rPr>
        <w:t>of</w:t>
      </w:r>
      <w:r>
        <w:rPr>
          <w:color w:val="FFFFFF"/>
          <w:spacing w:val="3"/>
        </w:rPr>
        <w:t> </w:t>
      </w:r>
      <w:r>
        <w:rPr>
          <w:color w:val="FFFFFF"/>
        </w:rPr>
        <w:t>Texas,</w:t>
      </w:r>
      <w:r>
        <w:rPr>
          <w:color w:val="FFFFFF"/>
          <w:spacing w:val="-5"/>
        </w:rPr>
        <w:t> </w:t>
      </w:r>
      <w:r>
        <w:rPr>
          <w:color w:val="FFFFFF"/>
        </w:rPr>
        <w:t>Austin,</w:t>
      </w:r>
      <w:r>
        <w:rPr>
          <w:color w:val="FFFFFF"/>
          <w:spacing w:val="3"/>
        </w:rPr>
        <w:t> </w:t>
      </w:r>
      <w:r>
        <w:rPr>
          <w:color w:val="FFFFFF"/>
          <w:spacing w:val="-5"/>
        </w:rPr>
        <w:t>TX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882"/>
      </w:pPr>
      <w:r>
        <w:rPr>
          <w:color w:val="FFFFFF"/>
          <w:w w:val="105"/>
        </w:rPr>
        <w:t>Relevant Coursework: Abnormal </w:t>
      </w:r>
      <w:r>
        <w:rPr>
          <w:color w:val="FFFFFF"/>
        </w:rPr>
        <w:t>Psychology, Counseling Techniques, </w:t>
      </w:r>
      <w:r>
        <w:rPr>
          <w:color w:val="FFFFFF"/>
          <w:w w:val="105"/>
        </w:rPr>
        <w:t>Community Health, Social Welfare Policy, Research Methods in </w:t>
      </w:r>
      <w:r>
        <w:rPr>
          <w:color w:val="FFFFFF"/>
          <w:spacing w:val="-2"/>
          <w:w w:val="105"/>
        </w:rPr>
        <w:t>Psychology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82"/>
        <w:ind w:left="882"/>
      </w:pPr>
      <w:r>
        <w:rPr>
          <w:color w:val="FFFFFF"/>
          <w:spacing w:val="-2"/>
          <w:w w:val="105"/>
        </w:rPr>
        <w:t>High-volume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caseload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(50+ concurrent clients)</w:t>
      </w:r>
    </w:p>
    <w:p>
      <w:pPr>
        <w:pStyle w:val="BodyText"/>
        <w:spacing w:line="261" w:lineRule="auto" w:before="104"/>
        <w:ind w:left="882"/>
      </w:pPr>
      <w:r>
        <w:rPr>
          <w:color w:val="FFFFFF"/>
          <w:spacing w:val="-2"/>
          <w:w w:val="105"/>
        </w:rPr>
        <w:t>Client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advocacy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multi-agency </w:t>
      </w:r>
      <w:r>
        <w:rPr>
          <w:color w:val="FFFFFF"/>
          <w:w w:val="105"/>
        </w:rPr>
        <w:t>referral coordination</w:t>
      </w:r>
    </w:p>
    <w:p>
      <w:pPr>
        <w:pStyle w:val="BodyText"/>
        <w:spacing w:line="261" w:lineRule="auto" w:before="88"/>
        <w:ind w:left="882" w:right="308"/>
      </w:pPr>
      <w:r>
        <w:rPr>
          <w:color w:val="FFFFFF"/>
          <w:spacing w:val="-2"/>
          <w:w w:val="105"/>
        </w:rPr>
        <w:t>Crisis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intervention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emergency </w:t>
      </w:r>
      <w:r>
        <w:rPr>
          <w:color w:val="FFFFFF"/>
          <w:w w:val="105"/>
        </w:rPr>
        <w:t>de-escalation protocols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Mental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health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support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trauma-</w:t>
      </w:r>
      <w:r>
        <w:rPr>
          <w:color w:val="FFFFFF"/>
          <w:w w:val="105"/>
        </w:rPr>
        <w:t>informed care practices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Intake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assessment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individualized </w:t>
      </w:r>
      <w:r>
        <w:rPr>
          <w:color w:val="FFFFFF"/>
          <w:w w:val="105"/>
        </w:rPr>
        <w:t>care plan development</w:t>
      </w:r>
    </w:p>
    <w:p>
      <w:pPr>
        <w:pStyle w:val="BodyText"/>
        <w:spacing w:line="261" w:lineRule="auto" w:before="89"/>
        <w:ind w:left="882" w:right="513"/>
        <w:jc w:val="both"/>
      </w:pP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regulatory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standards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(state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</w:t>
      </w:r>
      <w:r>
        <w:rPr>
          <w:color w:val="FFFFFF"/>
          <w:spacing w:val="-2"/>
          <w:w w:val="105"/>
        </w:rPr>
        <w:t>federal)</w:t>
      </w:r>
    </w:p>
    <w:p>
      <w:pPr>
        <w:pStyle w:val="BodyText"/>
        <w:spacing w:line="261" w:lineRule="auto" w:before="103"/>
        <w:ind w:left="882" w:right="327"/>
        <w:jc w:val="both"/>
      </w:pPr>
      <w:r>
        <w:rPr>
          <w:color w:val="FFFFFF"/>
          <w:spacing w:val="-2"/>
          <w:w w:val="105"/>
        </w:rPr>
        <w:t>Housing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navigation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homeless </w:t>
      </w:r>
      <w:r>
        <w:rPr>
          <w:color w:val="FFFFFF"/>
          <w:w w:val="105"/>
        </w:rPr>
        <w:t>prevention program coordination</w:t>
      </w:r>
    </w:p>
    <w:p>
      <w:pPr>
        <w:pStyle w:val="BodyText"/>
        <w:spacing w:line="261" w:lineRule="auto" w:before="89"/>
        <w:ind w:left="882" w:right="317"/>
        <w:jc w:val="both"/>
      </w:pP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resource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identiﬁcation </w:t>
      </w:r>
      <w:r>
        <w:rPr>
          <w:color w:val="FFFFFF"/>
          <w:w w:val="105"/>
        </w:rPr>
        <w:t>and beneﬁts navigation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68" w:after="0"/>
        <w:ind w:left="715" w:right="50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caseload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50+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instability, mental health, and healthcare access domains, maintaining consistent service quality through structured weekly check-ins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3" w:after="0"/>
        <w:ind w:left="715" w:right="581" w:hanging="298"/>
        <w:jc w:val="left"/>
        <w:rPr>
          <w:sz w:val="18"/>
        </w:rPr>
      </w:pPr>
      <w:r>
        <w:rPr>
          <w:w w:val="105"/>
          <w:sz w:val="18"/>
        </w:rPr>
        <w:t>Provided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crisis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8-12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high-risk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monthly, reducing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emergency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reliance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intervention protocols and de-escalation techniques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415" w:hanging="298"/>
        <w:jc w:val="left"/>
        <w:rPr>
          <w:sz w:val="18"/>
        </w:rPr>
      </w:pPr>
      <w:r>
        <w:rPr>
          <w:spacing w:val="-2"/>
          <w:w w:val="105"/>
          <w:sz w:val="18"/>
        </w:rPr>
        <w:t>Ensured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100%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standards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across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all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case </w:t>
      </w:r>
      <w:r>
        <w:rPr>
          <w:w w:val="105"/>
          <w:sz w:val="18"/>
        </w:rPr>
        <w:t>ﬁles, passing all four annual regulatory audits without ﬁndings or corrective action requirements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828" w:hanging="298"/>
        <w:jc w:val="both"/>
        <w:rPr>
          <w:sz w:val="18"/>
        </w:rPr>
      </w:pPr>
      <w:r>
        <w:rPr>
          <w:spacing w:val="-2"/>
          <w:w w:val="105"/>
          <w:sz w:val="18"/>
        </w:rPr>
        <w:t>Coordinated with 10+ community partners including shelters, mental </w:t>
      </w:r>
      <w:r>
        <w:rPr>
          <w:w w:val="105"/>
          <w:sz w:val="18"/>
        </w:rPr>
        <w:t>health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clinics,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county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departments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secure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healthcare resources for clients within 72-hour intake windows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39" w:right="3309"/>
      </w:pPr>
      <w:r>
        <w:rPr>
          <w:w w:val="105"/>
        </w:rPr>
        <w:t>Case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Intern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2017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2019 Austin Support Center | Austin, TX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472" w:hanging="298"/>
        <w:jc w:val="left"/>
        <w:rPr>
          <w:sz w:val="18"/>
        </w:rPr>
      </w:pPr>
      <w:r>
        <w:rPr>
          <w:spacing w:val="-2"/>
          <w:w w:val="105"/>
          <w:sz w:val="18"/>
        </w:rPr>
        <w:t>Conducted 75+ intake interviews over 10 months, creating individualized </w:t>
      </w:r>
      <w:r>
        <w:rPr>
          <w:w w:val="105"/>
          <w:sz w:val="18"/>
        </w:rPr>
        <w:t>care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tailored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housing,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ﬁnancial,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mental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needs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798" w:hanging="298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resource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referrals,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securing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placements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10 families within the ﬁrst six months through strategic use of rapid rehousing and emergency shelter programs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369" w:hanging="298"/>
        <w:jc w:val="both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agency record-keeping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standards,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full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supervisor </w:t>
      </w:r>
      <w:r>
        <w:rPr>
          <w:spacing w:val="-2"/>
          <w:w w:val="105"/>
          <w:sz w:val="18"/>
        </w:rPr>
        <w:t>audits</w:t>
      </w:r>
    </w:p>
    <w:p>
      <w:pPr>
        <w:pStyle w:val="BodyText"/>
        <w:spacing w:before="42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1432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615815" cy="314325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4.75pt;mso-position-horizontal-relative:char;mso-position-vertical-relative:line" type="#_x0000_t202" id="docshape11" filled="true" fillcolor="#134e5c" stroked="false">
                <w10:anchorlock/>
                <v:textbox inset="0,0,0,0">
                  <w:txbxContent>
                    <w:p>
                      <w:pPr>
                        <w:spacing w:before="67"/>
                        <w:ind w:left="2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pacing w:val="-2"/>
                          <w:sz w:val="28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61" w:lineRule="auto" w:before="191" w:after="0"/>
        <w:ind w:left="436" w:right="396" w:hanging="304"/>
        <w:jc w:val="left"/>
        <w:rPr>
          <w:sz w:val="18"/>
        </w:rPr>
      </w:pPr>
      <w:r>
        <w:rPr>
          <w:spacing w:val="-2"/>
          <w:w w:val="105"/>
          <w:sz w:val="18"/>
        </w:rPr>
        <w:t>Certiﬁed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Case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(CCM),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Commission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Case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Certiﬁcation, </w:t>
      </w:r>
      <w:r>
        <w:rPr>
          <w:w w:val="105"/>
          <w:sz w:val="18"/>
        </w:rPr>
        <w:t>August 2020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61" w:lineRule="auto" w:before="89" w:after="0"/>
        <w:ind w:left="436" w:right="626" w:hanging="304"/>
        <w:jc w:val="left"/>
        <w:rPr>
          <w:sz w:val="18"/>
        </w:rPr>
      </w:pPr>
      <w:r>
        <w:rPr>
          <w:spacing w:val="-2"/>
          <w:w w:val="105"/>
          <w:sz w:val="18"/>
        </w:rPr>
        <w:t>Mental Health First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Aid, National Council for Mental Wellbeing, September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61" w:lineRule="auto" w:before="88" w:after="0"/>
        <w:ind w:left="436" w:right="623" w:hanging="304"/>
        <w:jc w:val="left"/>
        <w:rPr>
          <w:sz w:val="18"/>
        </w:rPr>
      </w:pPr>
      <w:r>
        <w:rPr>
          <w:spacing w:val="-2"/>
          <w:w w:val="105"/>
          <w:sz w:val="18"/>
        </w:rPr>
        <w:t>Crisis Prevention Intervention (CPI), Crisis Prevention Institute, November </w:t>
      </w:r>
      <w:r>
        <w:rPr>
          <w:spacing w:val="-4"/>
          <w:w w:val="105"/>
          <w:sz w:val="18"/>
        </w:rPr>
        <w:t>2018</w:t>
      </w:r>
    </w:p>
    <w:sectPr>
      <w:type w:val="continuous"/>
      <w:pgSz w:w="11920" w:h="16860"/>
      <w:pgMar w:top="0" w:bottom="0" w:left="141" w:right="0"/>
      <w:cols w:num="2" w:equalWidth="0">
        <w:col w:w="4002" w:space="629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51" w:right="775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715" w:right="36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2026-03-22T12:41:44Z</dcterms:created>
  <dcterms:modified xsi:type="dcterms:W3CDTF">2026-03-22T12:41:44Z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