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43" w:lineRule="exact" w:before="0"/>
        <w:ind w:left="3" w:right="12" w:firstLine="0"/>
        <w:jc w:val="center"/>
        <w:rPr>
          <w:sz w:val="78"/>
        </w:rPr>
      </w:pPr>
      <w:r>
        <w:rPr>
          <w:b/>
          <w:color w:val="FFFFFF"/>
          <w:spacing w:val="11"/>
          <w:sz w:val="78"/>
        </w:rPr>
        <w:t>Jordan</w:t>
      </w:r>
      <w:r>
        <w:rPr>
          <w:b/>
          <w:color w:val="FFFFFF"/>
          <w:spacing w:val="32"/>
          <w:sz w:val="78"/>
        </w:rPr>
        <w:t> </w:t>
      </w:r>
      <w:r>
        <w:rPr>
          <w:color w:val="FFFFFF"/>
          <w:spacing w:val="9"/>
          <w:sz w:val="78"/>
        </w:rPr>
        <w:t>Miller</w:t>
      </w:r>
    </w:p>
    <w:p>
      <w:pPr>
        <w:pStyle w:val="Heading1"/>
      </w:pPr>
      <w:r>
        <w:rPr>
          <w:color w:val="FFFFFF"/>
        </w:rPr>
        <w:t>Accounts Receivable Finance </w:t>
      </w:r>
      <w:r>
        <w:rPr>
          <w:color w:val="FFFFFF"/>
          <w:spacing w:val="-2"/>
        </w:rPr>
        <w:t>Specialist</w:t>
      </w:r>
    </w:p>
    <w:p>
      <w:pPr>
        <w:spacing w:line="273" w:lineRule="auto" w:before="199"/>
        <w:ind w:left="590" w:right="617" w:firstLine="0"/>
        <w:jc w:val="left"/>
        <w:rPr>
          <w:sz w:val="16"/>
        </w:rPr>
      </w:pPr>
      <w:r>
        <w:rPr>
          <w:color w:val="FFFFFF"/>
          <w:w w:val="105"/>
          <w:sz w:val="16"/>
        </w:rPr>
        <w:t>Finance-oriented</w:t>
      </w:r>
      <w:r>
        <w:rPr>
          <w:color w:val="FFFFFF"/>
          <w:spacing w:val="-8"/>
          <w:w w:val="105"/>
          <w:sz w:val="16"/>
        </w:rPr>
        <w:t> </w:t>
      </w:r>
      <w:r>
        <w:rPr>
          <w:color w:val="FFFFFF"/>
          <w:w w:val="105"/>
          <w:sz w:val="16"/>
        </w:rPr>
        <w:t>accounts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receivable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specialist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9+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high-volume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AR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environments,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complex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reconciliations, and ﬁnancial analysis reporting. Proﬁcient in building</w:t>
      </w:r>
      <w:r>
        <w:rPr>
          <w:color w:val="FFFFFF"/>
          <w:spacing w:val="-10"/>
          <w:w w:val="105"/>
          <w:sz w:val="16"/>
        </w:rPr>
        <w:t> </w:t>
      </w:r>
      <w:r>
        <w:rPr>
          <w:color w:val="FFFFFF"/>
          <w:w w:val="105"/>
          <w:sz w:val="16"/>
        </w:rPr>
        <w:t>AR tracking dashboards, reducing reconciliation errors through procedural improvements, and preparing compliance documentation for SEC-ﬁling clients. Skilled at combining operational</w:t>
      </w:r>
      <w:r>
        <w:rPr>
          <w:color w:val="FFFFFF"/>
          <w:spacing w:val="-10"/>
          <w:w w:val="105"/>
          <w:sz w:val="16"/>
        </w:rPr>
        <w:t> </w:t>
      </w:r>
      <w:r>
        <w:rPr>
          <w:color w:val="FFFFFF"/>
          <w:w w:val="105"/>
          <w:sz w:val="16"/>
        </w:rPr>
        <w:t>AR execution with analytical insight to drive collections performance and reporting accuracy.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20" w:bottom="280" w:left="283" w:right="283"/>
        </w:sectPr>
      </w:pPr>
    </w:p>
    <w:p>
      <w:pPr>
        <w:pStyle w:val="Heading2"/>
        <w:spacing w:before="72"/>
      </w:pPr>
      <w:r>
        <w:rPr>
          <w:color w:val="B45E04"/>
        </w:rPr>
        <w:t>Contact</w:t>
      </w:r>
      <w:r>
        <w:rPr>
          <w:color w:val="B45E04"/>
          <w:spacing w:val="42"/>
        </w:rPr>
        <w:t> </w:t>
      </w:r>
      <w:r>
        <w:rPr>
          <w:color w:val="B45E04"/>
          <w:spacing w:val="-2"/>
        </w:rPr>
        <w:t>Information</w:t>
      </w:r>
    </w:p>
    <w:p>
      <w:pPr>
        <w:pStyle w:val="BodyText"/>
        <w:spacing w:before="17"/>
        <w:rPr>
          <w:sz w:val="26"/>
        </w:rPr>
      </w:pPr>
    </w:p>
    <w:p>
      <w:pPr>
        <w:pStyle w:val="BodyText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400049</wp:posOffset>
            </wp:positionH>
            <wp:positionV relativeFrom="paragraph">
              <wp:posOffset>-7053</wp:posOffset>
            </wp:positionV>
            <wp:extent cx="165348" cy="16192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Heading2"/>
        <w:spacing w:before="57"/>
      </w:pPr>
      <w:r>
        <w:rPr/>
        <w:br w:type="column"/>
      </w:r>
      <w:r>
        <w:rPr/>
        <w:t>Professional</w:t>
      </w:r>
      <w:r>
        <w:rPr>
          <w:spacing w:val="65"/>
        </w:rPr>
        <w:t> </w:t>
      </w:r>
      <w:r>
        <w:rPr>
          <w:spacing w:val="-2"/>
        </w:rPr>
        <w:t>Experience</w:t>
      </w:r>
    </w:p>
    <w:p>
      <w:pPr>
        <w:pStyle w:val="BodyText"/>
        <w:spacing w:before="5"/>
        <w:rPr>
          <w:sz w:val="26"/>
        </w:rPr>
      </w:pPr>
    </w:p>
    <w:p>
      <w:pPr>
        <w:pStyle w:val="BodyText"/>
        <w:spacing w:line="268" w:lineRule="auto"/>
        <w:ind w:left="51" w:right="881"/>
      </w:pPr>
      <w:r>
        <w:rPr/>
        <w:t>ACCOUNTS RECEIVABLE FINANCE SPECIALIST </w:t>
      </w:r>
      <w:r>
        <w:rPr>
          <w:position w:val="2"/>
        </w:rPr>
        <w:t>| </w:t>
      </w:r>
      <w:r>
        <w:rPr/>
        <w:t>NIKE , BEAVERTON, OR JULY 2016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820" w:bottom="280" w:left="283" w:right="283"/>
          <w:cols w:num="2" w:equalWidth="0">
            <w:col w:w="2432" w:space="1251"/>
            <w:col w:w="7671"/>
          </w:cols>
        </w:sectPr>
      </w:pPr>
    </w:p>
    <w:p>
      <w:pPr>
        <w:pStyle w:val="BodyText"/>
        <w:spacing w:line="480" w:lineRule="auto" w:before="87"/>
        <w:ind w:left="347" w:hanging="1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email@example.com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7"/>
        </w:rPr>
        <w:drawing>
          <wp:inline distT="0" distB="0" distL="0" distR="0">
            <wp:extent cx="165321" cy="16638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7"/>
        </w:rPr>
      </w:r>
      <w:r>
        <w:rPr>
          <w:rFonts w:ascii="Times New Roman"/>
          <w:color w:val="424242"/>
          <w:spacing w:val="80"/>
          <w:w w:val="105"/>
        </w:rPr>
        <w:t> </w:t>
      </w:r>
      <w:r>
        <w:rPr>
          <w:color w:val="424242"/>
          <w:w w:val="105"/>
        </w:rPr>
        <w:t>Portland, OR</w:t>
      </w:r>
    </w:p>
    <w:p>
      <w:pPr>
        <w:pStyle w:val="Heading2"/>
        <w:spacing w:line="296" w:lineRule="exact"/>
      </w:pPr>
      <w:r>
        <w:rPr>
          <w:color w:val="B45E04"/>
          <w:spacing w:val="-2"/>
        </w:rPr>
        <w:t>Education</w:t>
      </w:r>
    </w:p>
    <w:p>
      <w:pPr>
        <w:pStyle w:val="BodyText"/>
        <w:spacing w:before="20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189" w:lineRule="auto" w:before="0" w:after="0"/>
        <w:ind w:left="349" w:right="298" w:hanging="298"/>
        <w:jc w:val="left"/>
        <w:rPr>
          <w:position w:val="-4"/>
          <w:sz w:val="31"/>
        </w:rPr>
      </w:pPr>
      <w:r>
        <w:rPr>
          <w:w w:val="105"/>
          <w:sz w:val="18"/>
        </w:rPr>
        <w:t>Created financial dashboards tracking 25+ AR KPIs across 15 client accounts,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AR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tracking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efficiency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25%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spent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manual</w:t>
      </w:r>
    </w:p>
    <w:p>
      <w:pPr>
        <w:pStyle w:val="BodyText"/>
        <w:spacing w:before="41"/>
        <w:ind w:left="349"/>
      </w:pPr>
      <w:r>
        <w:rPr>
          <w:w w:val="105"/>
        </w:rPr>
        <w:t>status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reporting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4" w:lineRule="auto" w:before="70" w:after="0"/>
        <w:ind w:left="349" w:right="376" w:hanging="298"/>
        <w:jc w:val="left"/>
        <w:rPr>
          <w:position w:val="-2"/>
          <w:sz w:val="31"/>
        </w:rPr>
      </w:pPr>
      <w:r>
        <w:rPr>
          <w:w w:val="105"/>
          <w:sz w:val="18"/>
        </w:rPr>
        <w:t>Reduced reconciliation errors by 18% through procedural updates including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mandatory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pre-close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review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checklists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cross-team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discrepancy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logging</w:t>
      </w:r>
    </w:p>
    <w:p>
      <w:pPr>
        <w:pStyle w:val="BodyText"/>
        <w:spacing w:before="39"/>
        <w:ind w:left="349"/>
      </w:pPr>
      <w:r>
        <w:rPr>
          <w:spacing w:val="-2"/>
          <w:w w:val="105"/>
        </w:rPr>
        <w:t>system</w:t>
      </w:r>
    </w:p>
    <w:p>
      <w:pPr>
        <w:pStyle w:val="BodyText"/>
        <w:spacing w:after="0"/>
        <w:sectPr>
          <w:type w:val="continuous"/>
          <w:pgSz w:w="11920" w:h="16860"/>
          <w:pgMar w:top="820" w:bottom="280" w:left="283" w:right="283"/>
          <w:cols w:num="2" w:equalWidth="0">
            <w:col w:w="2594" w:space="1331"/>
            <w:col w:w="7429"/>
          </w:cols>
        </w:sect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189" w:lineRule="auto" w:before="72" w:after="0"/>
        <w:ind w:left="646" w:right="411" w:hanging="298"/>
        <w:jc w:val="left"/>
        <w:rPr>
          <w:sz w:val="18"/>
        </w:rPr>
      </w:pPr>
      <w:r>
        <w:rPr>
          <w:w w:val="105"/>
          <w:sz w:val="18"/>
        </w:rPr>
        <w:t>Bachelor of Science in </w:t>
      </w:r>
      <w:r>
        <w:rPr>
          <w:spacing w:val="-2"/>
          <w:w w:val="105"/>
          <w:sz w:val="18"/>
        </w:rPr>
        <w:t>Accounting</w:t>
      </w:r>
    </w:p>
    <w:p>
      <w:pPr>
        <w:pStyle w:val="BodyText"/>
        <w:spacing w:before="134"/>
      </w:pPr>
    </w:p>
    <w:p>
      <w:pPr>
        <w:pStyle w:val="BodyText"/>
        <w:spacing w:line="261" w:lineRule="auto"/>
        <w:ind w:left="646"/>
      </w:pPr>
      <w:r>
        <w:rPr/>
        <w:t>Oregon State University, Corvallis, OR</w:t>
      </w:r>
    </w:p>
    <w:p>
      <w:pPr>
        <w:pStyle w:val="BodyText"/>
        <w:spacing w:before="107"/>
      </w:pPr>
    </w:p>
    <w:p>
      <w:pPr>
        <w:pStyle w:val="BodyText"/>
        <w:ind w:left="646"/>
      </w:pP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2013</w:t>
      </w:r>
    </w:p>
    <w:p>
      <w:pPr>
        <w:pStyle w:val="BodyText"/>
        <w:spacing w:before="2"/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1" w:lineRule="auto" w:before="0" w:after="0"/>
        <w:ind w:left="646" w:right="173" w:hanging="298"/>
        <w:jc w:val="left"/>
        <w:rPr>
          <w:sz w:val="18"/>
        </w:rPr>
      </w:pPr>
      <w:r>
        <w:rPr>
          <w:w w:val="105"/>
          <w:sz w:val="18"/>
        </w:rPr>
        <w:t>Bachelor of Business Administration in Finance</w:t>
      </w:r>
    </w:p>
    <w:p>
      <w:pPr>
        <w:pStyle w:val="BodyText"/>
        <w:spacing w:before="118"/>
      </w:pPr>
    </w:p>
    <w:p>
      <w:pPr>
        <w:pStyle w:val="BodyText"/>
        <w:spacing w:line="278" w:lineRule="auto" w:before="1"/>
        <w:ind w:left="646"/>
      </w:pPr>
      <w:r>
        <w:rPr/>
        <w:t>Portland State University, Portland, OR</w:t>
      </w:r>
    </w:p>
    <w:p>
      <w:pPr>
        <w:pStyle w:val="BodyText"/>
        <w:spacing w:before="77"/>
      </w:pPr>
    </w:p>
    <w:p>
      <w:pPr>
        <w:pStyle w:val="BodyText"/>
        <w:ind w:left="646"/>
      </w:pP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2011</w:t>
      </w:r>
    </w:p>
    <w:p>
      <w:pPr>
        <w:pStyle w:val="BodyText"/>
        <w:spacing w:before="81"/>
      </w:pPr>
    </w:p>
    <w:p>
      <w:pPr>
        <w:pStyle w:val="Heading2"/>
      </w:pPr>
      <w:r>
        <w:rPr>
          <w:color w:val="B45E04"/>
        </w:rPr>
        <w:t>Key</w:t>
      </w:r>
      <w:r>
        <w:rPr>
          <w:color w:val="B45E04"/>
          <w:spacing w:val="22"/>
        </w:rPr>
        <w:t> </w:t>
      </w:r>
      <w:r>
        <w:rPr>
          <w:color w:val="B45E04"/>
          <w:spacing w:val="-2"/>
        </w:rPr>
        <w:t>Skills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189" w:lineRule="auto" w:before="280" w:after="0"/>
        <w:ind w:left="646" w:right="132" w:hanging="298"/>
        <w:jc w:val="left"/>
        <w:rPr>
          <w:sz w:val="18"/>
        </w:rPr>
      </w:pPr>
      <w:r>
        <w:rPr>
          <w:w w:val="105"/>
          <w:sz w:val="18"/>
        </w:rPr>
        <w:t>Financial analysis and AR performance reporting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1" w:lineRule="auto" w:before="98" w:after="0"/>
        <w:ind w:left="646" w:right="0" w:hanging="298"/>
        <w:jc w:val="left"/>
        <w:rPr>
          <w:sz w:val="18"/>
        </w:rPr>
      </w:pPr>
      <w:r>
        <w:rPr>
          <w:w w:val="105"/>
          <w:sz w:val="18"/>
        </w:rPr>
        <w:t>Complex reconciliation and error investigation</w:t>
      </w:r>
    </w:p>
    <w:p>
      <w:pPr>
        <w:pStyle w:val="ListParagraph"/>
        <w:numPr>
          <w:ilvl w:val="1"/>
          <w:numId w:val="1"/>
        </w:numPr>
        <w:tabs>
          <w:tab w:pos="588" w:val="left" w:leader="none"/>
          <w:tab w:pos="590" w:val="left" w:leader="none"/>
        </w:tabs>
        <w:spacing w:line="201" w:lineRule="auto" w:before="75" w:after="0"/>
        <w:ind w:left="590" w:right="9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Prepared complex reconciliation analyses for month-end and quarter-end closes, resolving all outstanding items within 3 business days across 8-year tenure</w:t>
      </w:r>
    </w:p>
    <w:p>
      <w:pPr>
        <w:pStyle w:val="ListParagraph"/>
        <w:numPr>
          <w:ilvl w:val="1"/>
          <w:numId w:val="1"/>
        </w:numPr>
        <w:tabs>
          <w:tab w:pos="588" w:val="left" w:leader="none"/>
          <w:tab w:pos="590" w:val="left" w:leader="none"/>
        </w:tabs>
        <w:spacing w:line="189" w:lineRule="auto" w:before="108" w:after="0"/>
        <w:ind w:left="590" w:right="593" w:hanging="298"/>
        <w:jc w:val="left"/>
        <w:rPr>
          <w:sz w:val="18"/>
        </w:rPr>
      </w:pPr>
      <w:r>
        <w:rPr>
          <w:w w:val="105"/>
          <w:sz w:val="18"/>
        </w:rPr>
        <w:t>Developed monthly AR financial analysis reports for the CFO, incorporating collections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trends,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aging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comparisons,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risk-flag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commentary</w:t>
      </w:r>
    </w:p>
    <w:p>
      <w:pPr>
        <w:pStyle w:val="ListParagraph"/>
        <w:numPr>
          <w:ilvl w:val="1"/>
          <w:numId w:val="1"/>
        </w:numPr>
        <w:tabs>
          <w:tab w:pos="588" w:val="left" w:leader="none"/>
          <w:tab w:pos="590" w:val="left" w:leader="none"/>
        </w:tabs>
        <w:spacing w:line="201" w:lineRule="auto" w:before="98" w:after="0"/>
        <w:ind w:left="590" w:right="363" w:hanging="298"/>
        <w:jc w:val="left"/>
        <w:rPr>
          <w:sz w:val="18"/>
        </w:rPr>
      </w:pPr>
      <w:r>
        <w:rPr>
          <w:w w:val="105"/>
          <w:sz w:val="18"/>
        </w:rPr>
        <w:t>Supported 4 quarterly audit preparations by compiling complete AR portfolios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and SEC filing support schedules within agreed timelines</w:t>
      </w:r>
    </w:p>
    <w:p>
      <w:pPr>
        <w:pStyle w:val="ListParagraph"/>
        <w:numPr>
          <w:ilvl w:val="1"/>
          <w:numId w:val="1"/>
        </w:numPr>
        <w:tabs>
          <w:tab w:pos="588" w:val="left" w:leader="none"/>
          <w:tab w:pos="590" w:val="left" w:leader="none"/>
        </w:tabs>
        <w:spacing w:line="201" w:lineRule="auto" w:before="82" w:after="0"/>
        <w:ind w:left="590" w:right="411" w:hanging="298"/>
        <w:jc w:val="left"/>
        <w:rPr>
          <w:sz w:val="18"/>
        </w:rPr>
      </w:pPr>
      <w:r>
        <w:rPr>
          <w:w w:val="105"/>
          <w:sz w:val="18"/>
        </w:rPr>
        <w:t>Trained 3 AR clerks on financial analysis reporting procedures, reducing their first-quarter error rates by 25%</w:t>
      </w:r>
    </w:p>
    <w:p>
      <w:pPr>
        <w:pStyle w:val="BodyText"/>
        <w:spacing w:before="76"/>
      </w:pPr>
    </w:p>
    <w:p>
      <w:pPr>
        <w:pStyle w:val="BodyText"/>
        <w:spacing w:line="268" w:lineRule="auto" w:before="1"/>
        <w:ind w:left="51" w:right="881"/>
      </w:pPr>
      <w:r>
        <w:rPr/>
        <w:t>ACCOUNTS RECEIVABLE CLERK</w:t>
      </w:r>
      <w:r>
        <w:rPr>
          <w:spacing w:val="40"/>
        </w:rPr>
        <w:t> </w:t>
      </w:r>
      <w:r>
        <w:rPr>
          <w:position w:val="2"/>
        </w:rPr>
        <w:t>| </w:t>
      </w:r>
      <w:r>
        <w:rPr/>
        <w:t>PRECISION CASTPARTS , PORTLAND, OR JUNE 2013 – JUNE 2016</w:t>
      </w:r>
    </w:p>
    <w:p>
      <w:pPr>
        <w:pStyle w:val="ListParagraph"/>
        <w:numPr>
          <w:ilvl w:val="1"/>
          <w:numId w:val="1"/>
        </w:numPr>
        <w:tabs>
          <w:tab w:pos="588" w:val="left" w:leader="none"/>
          <w:tab w:pos="590" w:val="left" w:leader="none"/>
        </w:tabs>
        <w:spacing w:line="201" w:lineRule="auto" w:before="199" w:after="0"/>
        <w:ind w:left="590" w:right="848" w:hanging="298"/>
        <w:jc w:val="left"/>
        <w:rPr>
          <w:sz w:val="18"/>
        </w:rPr>
      </w:pPr>
      <w:r>
        <w:rPr>
          <w:w w:val="105"/>
          <w:sz w:val="18"/>
        </w:rPr>
        <w:t>Managed 400+ monthly invoices with 98% accuracy, supporting on-time quarterly close for 3 consecutive fiscal years</w:t>
      </w:r>
    </w:p>
    <w:p>
      <w:pPr>
        <w:pStyle w:val="ListParagraph"/>
        <w:numPr>
          <w:ilvl w:val="1"/>
          <w:numId w:val="1"/>
        </w:numPr>
        <w:tabs>
          <w:tab w:pos="588" w:val="left" w:leader="none"/>
          <w:tab w:pos="590" w:val="left" w:leader="none"/>
        </w:tabs>
        <w:spacing w:line="189" w:lineRule="auto" w:before="109" w:after="0"/>
        <w:ind w:left="590" w:right="65" w:hanging="298"/>
        <w:jc w:val="left"/>
        <w:rPr>
          <w:sz w:val="18"/>
        </w:rPr>
      </w:pPr>
      <w:r>
        <w:rPr>
          <w:w w:val="105"/>
          <w:sz w:val="18"/>
        </w:rPr>
        <w:t>Assisted with quarter-end reporting to support SEC filing requirements, compiling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AR schedules and supporting documentation for 3 filings annually</w:t>
      </w:r>
    </w:p>
    <w:p>
      <w:pPr>
        <w:pStyle w:val="ListParagraph"/>
        <w:numPr>
          <w:ilvl w:val="1"/>
          <w:numId w:val="1"/>
        </w:numPr>
        <w:tabs>
          <w:tab w:pos="588" w:val="left" w:leader="none"/>
          <w:tab w:pos="590" w:val="left" w:leader="none"/>
        </w:tabs>
        <w:spacing w:line="201" w:lineRule="auto" w:before="98" w:after="0"/>
        <w:ind w:left="590" w:right="106" w:hanging="298"/>
        <w:jc w:val="left"/>
        <w:rPr>
          <w:sz w:val="18"/>
        </w:rPr>
      </w:pPr>
      <w:r>
        <w:rPr>
          <w:w w:val="105"/>
          <w:sz w:val="18"/>
        </w:rPr>
        <w:t>Reconciled 20+ accounts monthly, identifying and resolving discrepancies within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24-hour targets and maintaining clean audit trails</w:t>
      </w:r>
    </w:p>
    <w:p>
      <w:pPr>
        <w:pStyle w:val="ListParagraph"/>
        <w:numPr>
          <w:ilvl w:val="1"/>
          <w:numId w:val="1"/>
        </w:numPr>
        <w:tabs>
          <w:tab w:pos="589" w:val="left" w:leader="none"/>
        </w:tabs>
        <w:spacing w:line="343" w:lineRule="exact" w:before="43" w:after="0"/>
        <w:ind w:left="589" w:right="0" w:hanging="296"/>
        <w:jc w:val="left"/>
        <w:rPr>
          <w:sz w:val="18"/>
        </w:rPr>
      </w:pPr>
      <w:r>
        <w:rPr>
          <w:w w:val="105"/>
          <w:sz w:val="18"/>
        </w:rPr>
        <w:t>Processed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applied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$3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monthly</w:t>
      </w:r>
    </w:p>
    <w:p>
      <w:pPr>
        <w:pStyle w:val="ListParagraph"/>
        <w:numPr>
          <w:ilvl w:val="1"/>
          <w:numId w:val="1"/>
        </w:numPr>
        <w:tabs>
          <w:tab w:pos="700" w:val="left" w:leader="none"/>
        </w:tabs>
        <w:spacing w:line="343" w:lineRule="exact" w:before="0" w:after="0"/>
        <w:ind w:left="700" w:right="0" w:hanging="407"/>
        <w:jc w:val="left"/>
        <w:rPr>
          <w:sz w:val="18"/>
        </w:rPr>
      </w:pPr>
      <w:r>
        <w:rPr>
          <w:w w:val="105"/>
          <w:sz w:val="18"/>
        </w:rPr>
        <w:t>cash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receipts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97%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first-pass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posting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3-year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tenure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820" w:bottom="280" w:left="283" w:right="283"/>
          <w:cols w:num="2" w:equalWidth="0">
            <w:col w:w="3009" w:space="674"/>
            <w:col w:w="7671"/>
          </w:cols>
        </w:sect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1" w:lineRule="auto" w:before="82" w:after="0"/>
        <w:ind w:left="646" w:right="262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396073" y="5176300"/>
                            <a:ext cx="5172710" cy="5528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5528310">
                                <a:moveTo>
                                  <a:pt x="0" y="5528275"/>
                                </a:moveTo>
                                <a:lnTo>
                                  <a:pt x="0" y="0"/>
                                </a:lnTo>
                                <a:lnTo>
                                  <a:pt x="5172110" y="0"/>
                                </a:lnTo>
                                <a:lnTo>
                                  <a:pt x="5172110" y="5528275"/>
                                </a:lnTo>
                                <a:lnTo>
                                  <a:pt x="0" y="55282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609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09850">
                                <a:moveTo>
                                  <a:pt x="7568183" y="2609849"/>
                                </a:moveTo>
                                <a:lnTo>
                                  <a:pt x="0" y="2609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09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00299" y="2609849"/>
                            <a:ext cx="5168265" cy="7410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7410450">
                                <a:moveTo>
                                  <a:pt x="5167883" y="7410449"/>
                                </a:moveTo>
                                <a:lnTo>
                                  <a:pt x="0" y="741044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7410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8816" id="docshapegroup1" coordorigin="0,0" coordsize="11919,16858">
                <v:rect style="position:absolute;left:3773;top:8151;width:8146;height:8706" id="docshape2" filled="true" fillcolor="#fae4cc" stroked="false">
                  <v:fill type="solid"/>
                </v:rect>
                <v:rect style="position:absolute;left:0;top:0;width:11919;height:4110" id="docshape3" filled="true" fillcolor="#424242" stroked="false">
                  <v:fill type="solid"/>
                </v:rect>
                <v:rect style="position:absolute;left:3780;top:4110;width:8139;height:11670" id="docshape4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  <w:sz w:val="18"/>
        </w:rPr>
        <w:t>AR dashboard design and data visualization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189" w:lineRule="auto" w:before="108" w:after="0"/>
        <w:ind w:left="646" w:right="46" w:hanging="298"/>
        <w:jc w:val="left"/>
        <w:rPr>
          <w:sz w:val="18"/>
        </w:rPr>
      </w:pPr>
      <w:r>
        <w:rPr>
          <w:w w:val="105"/>
          <w:sz w:val="18"/>
        </w:rPr>
        <w:t>High-volume invoice management (400+ monthly)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189" w:lineRule="auto" w:before="110" w:after="0"/>
        <w:ind w:left="646" w:right="38" w:hanging="298"/>
        <w:jc w:val="left"/>
        <w:rPr>
          <w:sz w:val="18"/>
        </w:rPr>
      </w:pPr>
      <w:r>
        <w:rPr>
          <w:w w:val="105"/>
          <w:sz w:val="18"/>
        </w:rPr>
        <w:t>Procedural improvement and error reduction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1" w:lineRule="auto" w:before="98" w:after="0"/>
        <w:ind w:left="646" w:right="193" w:hanging="298"/>
        <w:jc w:val="left"/>
        <w:rPr>
          <w:sz w:val="18"/>
        </w:rPr>
      </w:pPr>
      <w:r>
        <w:rPr>
          <w:w w:val="105"/>
          <w:sz w:val="18"/>
        </w:rPr>
        <w:t>SEC filing support and compliance documentation</w:t>
      </w:r>
    </w:p>
    <w:p>
      <w:pPr>
        <w:pStyle w:val="Heading2"/>
        <w:spacing w:before="25"/>
        <w:ind w:left="349"/>
      </w:pPr>
      <w:r>
        <w:rPr/>
        <w:br w:type="column"/>
      </w:r>
      <w:r>
        <w:rPr>
          <w:spacing w:val="-2"/>
        </w:rPr>
        <w:t>Certifications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240" w:lineRule="auto" w:before="214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Public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Accountant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(CPA)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AICPA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7"/>
          <w:w w:val="105"/>
          <w:sz w:val="18"/>
        </w:rPr>
        <w:t> </w:t>
      </w:r>
      <w:r>
        <w:rPr>
          <w:spacing w:val="-4"/>
          <w:w w:val="105"/>
          <w:sz w:val="18"/>
        </w:rPr>
        <w:t>value</w:t>
      </w:r>
    </w:p>
    <w:sectPr>
      <w:type w:val="continuous"/>
      <w:pgSz w:w="11920" w:h="16860"/>
      <w:pgMar w:top="820" w:bottom="280" w:left="283" w:right="283"/>
      <w:cols w:num="2" w:equalWidth="0">
        <w:col w:w="3190" w:space="195"/>
        <w:col w:w="796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6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5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2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7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1"/>
      <w:ind w:left="12" w:right="9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Arial" w:hAnsi="Arial" w:eastAsia="Arial" w:cs="Arial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6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2026-03-21T23:42:49Z</dcterms:created>
  <dcterms:modified xsi:type="dcterms:W3CDTF">2026-03-21T23:42:49Z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2026-03-21T00:00:00Z</vt:filetime>
  </property>
  <property fmtid="{D5CDD505-2E9C-101B-9397-08002B2CF9AE}" pid="5" name="Producer">
    <vt:lpwstr>Skia/PDF m121</vt:lpwstr>
  </property>
</Properties>
</file>