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618553"/>
          <w:sz w:val="83"/>
        </w:rPr>
        <w:t>Cameron</w:t>
      </w:r>
      <w:r>
        <w:rPr>
          <w:color w:val="618553"/>
          <w:spacing w:val="-6"/>
          <w:sz w:val="83"/>
        </w:rPr>
        <w:t> </w:t>
      </w:r>
      <w:r>
        <w:rPr>
          <w:color w:val="646464"/>
          <w:spacing w:val="-2"/>
          <w:sz w:val="83"/>
        </w:rPr>
        <w:t>Moore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618553"/>
          <w:sz w:val="20"/>
        </w:rPr>
        <w:t>Healthcare</w:t>
      </w:r>
      <w:r>
        <w:rPr>
          <w:color w:val="618553"/>
          <w:spacing w:val="-1"/>
          <w:sz w:val="20"/>
        </w:rPr>
        <w:t> </w:t>
      </w:r>
      <w:r>
        <w:rPr>
          <w:color w:val="618553"/>
          <w:spacing w:val="-2"/>
          <w:sz w:val="20"/>
        </w:rPr>
        <w:t>Attorney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3430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343025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03" w:right="416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Proactive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healthcare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attorney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6+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advising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hospitals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provider groups on reimbursement, HIPAA, and Stark-law compliance. Achieved a 100% audit pass rate on 40+ drafted compliance policies, reduced proposed CMS recoupments by $5M through successful appeals, and facilitated $200M in integrated-delivery expansion transactions. Expert in HIPAA, Stark, Anti-Kickback, and healthcare transaction counsel.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105.75pt;mso-position-horizontal-relative:page;mso-position-vertical-relative:paragraph;z-index:-15728640;mso-wrap-distance-left:0;mso-wrap-distance-right:0" type="#_x0000_t202" id="docshape1" filled="true" fillcolor="#618553" stroked="false">
                <v:textbox inset="0,0,0,0">
                  <w:txbxContent>
                    <w:p>
                      <w:pPr>
                        <w:spacing w:line="290" w:lineRule="auto" w:before="172"/>
                        <w:ind w:left="703" w:right="416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Proactive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healthcare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attorney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6+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years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advising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hospitals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2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provider groups on reimbursement, HIPAA, and Stark-law compliance. Achieved a 100% audit pass rate on 40+ drafted compliance policies, reduced proposed CMS recoupments by $5M through successful appeals, and facilitated $200M in integrated-delivery expansion transactions. Expert in HIPAA, Stark, Anti-Kickback, and healthcare transaction counsel.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ind w:left="0" w:firstLine="0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61"/>
        <w:ind w:right="393"/>
      </w:pPr>
      <w:r>
        <w:rPr>
          <w:color w:val="618553"/>
          <w:spacing w:val="-2"/>
        </w:rPr>
        <w:t>CONTACT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226"/>
      </w:pPr>
      <w:r>
        <w:rPr/>
        <w:br w:type="column"/>
      </w:r>
      <w:r>
        <w:rPr>
          <w:color w:val="618553"/>
          <w:spacing w:val="-2"/>
        </w:rPr>
        <w:t>PROFESSIONAL</w:t>
      </w:r>
      <w:r>
        <w:rPr>
          <w:color w:val="618553"/>
          <w:spacing w:val="4"/>
        </w:rPr>
        <w:t> </w:t>
      </w:r>
      <w:r>
        <w:rPr>
          <w:color w:val="618553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Healthcare</w:t>
      </w:r>
      <w:r>
        <w:rPr>
          <w:spacing w:val="-1"/>
          <w:sz w:val="20"/>
        </w:rPr>
        <w:t> </w:t>
      </w:r>
      <w:r>
        <w:rPr>
          <w:sz w:val="20"/>
        </w:rPr>
        <w:t>Counsel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HealthFirst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Systems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 City,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43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179" w:space="1839"/>
            <w:col w:w="7619"/>
          </w:cols>
        </w:sectPr>
      </w:pPr>
    </w:p>
    <w:p>
      <w:pPr>
        <w:spacing w:line="439" w:lineRule="auto" w:before="150"/>
        <w:ind w:left="740" w:right="23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BodyText"/>
        <w:spacing w:before="210"/>
        <w:ind w:left="0" w:firstLine="0"/>
        <w:rPr>
          <w:sz w:val="20"/>
        </w:rPr>
      </w:pPr>
    </w:p>
    <w:p>
      <w:pPr>
        <w:pStyle w:val="Heading1"/>
      </w:pPr>
      <w:r>
        <w:rPr>
          <w:color w:val="618553"/>
        </w:rPr>
        <w:t>KEY</w:t>
      </w:r>
      <w:r>
        <w:rPr>
          <w:color w:val="618553"/>
          <w:spacing w:val="-6"/>
        </w:rPr>
        <w:t> </w:t>
      </w:r>
      <w:r>
        <w:rPr>
          <w:color w:val="61855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206" w:after="0"/>
        <w:ind w:left="591" w:right="38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HIPAA and Stark-law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policy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drafting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104" w:after="0"/>
        <w:ind w:left="591" w:right="63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CMS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defense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appeals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3" w:after="0"/>
        <w:ind w:left="591" w:right="343" w:hanging="298"/>
        <w:jc w:val="left"/>
        <w:rPr>
          <w:sz w:val="18"/>
        </w:rPr>
      </w:pPr>
      <w:r>
        <w:rPr>
          <w:color w:val="134E5C"/>
          <w:w w:val="105"/>
          <w:sz w:val="18"/>
        </w:rPr>
        <w:t>Healthcare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transaction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afﬁliation counsel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90" w:after="0"/>
        <w:ind w:left="591" w:right="44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Internal investigation coordination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4" w:after="0"/>
        <w:ind w:left="591" w:right="69" w:hanging="298"/>
        <w:jc w:val="left"/>
        <w:rPr>
          <w:sz w:val="18"/>
        </w:rPr>
      </w:pPr>
      <w:r>
        <w:rPr>
          <w:color w:val="134E5C"/>
          <w:w w:val="105"/>
          <w:sz w:val="18"/>
        </w:rPr>
        <w:t>Anti-Kickback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statute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advisory and compliance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75" w:after="0"/>
        <w:ind w:left="591" w:right="189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Reimbursement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revenue </w:t>
      </w:r>
      <w:r>
        <w:rPr>
          <w:color w:val="134E5C"/>
          <w:w w:val="105"/>
          <w:sz w:val="18"/>
        </w:rPr>
        <w:t>cycle compliance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89" w:after="0"/>
        <w:ind w:left="591" w:right="313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Risk-exposure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 mitigation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4" w:after="0"/>
        <w:ind w:left="591" w:right="466" w:hanging="298"/>
        <w:jc w:val="left"/>
        <w:rPr>
          <w:sz w:val="18"/>
        </w:rPr>
      </w:pPr>
      <w:r>
        <w:rPr>
          <w:color w:val="134E5C"/>
          <w:w w:val="105"/>
          <w:sz w:val="18"/>
        </w:rPr>
        <w:t>Due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diligence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hospital acquisitions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mergers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80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Healthcare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regulatory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program </w:t>
      </w:r>
      <w:r>
        <w:rPr>
          <w:color w:val="134E5C"/>
          <w:w w:val="105"/>
          <w:sz w:val="18"/>
        </w:rPr>
        <w:t>design and training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38" w:after="0"/>
        <w:ind w:left="759" w:right="617" w:hanging="298"/>
        <w:jc w:val="both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Drafted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40+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policies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covering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HIPAA,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Stark,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Anti-Kickback requirements,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achieving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100%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3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consecutive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CMS and OIG compliance reviews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00" w:after="0"/>
        <w:ind w:left="759" w:right="851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Represented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provider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group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clients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3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CMS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audits,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proposed recoupments by $5M through successful administrative appeals and comprehensive documentation of medical necessity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90" w:after="0"/>
        <w:ind w:left="759" w:right="928" w:hanging="298"/>
        <w:jc w:val="both"/>
        <w:rPr>
          <w:sz w:val="18"/>
        </w:rPr>
      </w:pPr>
      <w:r>
        <w:rPr>
          <w:color w:val="134E5C"/>
          <w:w w:val="105"/>
          <w:position w:val="1"/>
          <w:sz w:val="18"/>
        </w:rPr>
        <w:t>Advised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20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joint-venture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afﬁliation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agreements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between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hospital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physician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groups,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facilitating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$200M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integrated-delivery network expansions while ensuring Stark compliance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89" w:after="0"/>
        <w:ind w:left="759" w:right="645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internal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investigations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into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alleged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False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Claims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Act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Anti-</w:t>
      </w:r>
      <w:r>
        <w:rPr>
          <w:color w:val="134E5C"/>
          <w:w w:val="105"/>
          <w:sz w:val="18"/>
        </w:rPr>
        <w:t>Kickback compliance breaches, resolving all matters before regulatory inquiry through voluntary disclosure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90" w:after="0"/>
        <w:ind w:left="759" w:right="545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Designed and delivered compliance training for 500+ clinical and </w:t>
      </w:r>
      <w:r>
        <w:rPr>
          <w:color w:val="134E5C"/>
          <w:w w:val="105"/>
          <w:sz w:val="18"/>
        </w:rPr>
        <w:t>administrative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staff,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HIPAA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Stark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awareness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scores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from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65% to 95% on annual compliance assessments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89" w:after="0"/>
        <w:ind w:left="759" w:right="848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Managed due diligence for 8 hospital acquisitions, identifying $30M in </w:t>
      </w:r>
      <w:r>
        <w:rPr>
          <w:color w:val="134E5C"/>
          <w:w w:val="105"/>
          <w:sz w:val="18"/>
        </w:rPr>
        <w:t>potential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regulatory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liabilities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were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addressed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deal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structure adjustments or seller representations</w:t>
      </w:r>
    </w:p>
    <w:p>
      <w:pPr>
        <w:spacing w:before="126"/>
        <w:ind w:left="108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-11"/>
          <w:sz w:val="20"/>
        </w:rPr>
        <w:t> </w:t>
      </w:r>
      <w:r>
        <w:rPr>
          <w:sz w:val="20"/>
        </w:rPr>
        <w:t>Attorney,</w:t>
      </w:r>
      <w:r>
        <w:rPr>
          <w:spacing w:val="2"/>
          <w:sz w:val="20"/>
        </w:rPr>
        <w:t> </w:t>
      </w:r>
      <w:r>
        <w:rPr>
          <w:sz w:val="20"/>
        </w:rPr>
        <w:t>Health</w:t>
      </w:r>
      <w:r>
        <w:rPr>
          <w:spacing w:val="2"/>
          <w:sz w:val="20"/>
        </w:rPr>
        <w:t> </w:t>
      </w:r>
      <w:r>
        <w:rPr>
          <w:sz w:val="20"/>
        </w:rPr>
        <w:t>Law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MediLaw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Partners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1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38" w:after="0"/>
        <w:ind w:left="759" w:right="427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 internal investigations of compliance breaches for 8 provider clients,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remediating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voluntary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corrective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plans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ahead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of regulatory inquiries in all matters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99" w:after="0"/>
        <w:ind w:left="759" w:right="655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Prepared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due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diligence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reports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10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hospital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acquisitions,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identifying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 advising on risk exposures including pending enforcement actions, billing audits, and certiﬁcate-of-need issues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00" w:after="0"/>
        <w:ind w:left="759" w:right="693" w:hanging="298"/>
        <w:jc w:val="left"/>
        <w:rPr>
          <w:sz w:val="18"/>
        </w:rPr>
      </w:pPr>
      <w:r>
        <w:rPr>
          <w:color w:val="134E5C"/>
          <w:w w:val="105"/>
          <w:sz w:val="18"/>
        </w:rPr>
        <w:t>Drafted healthcare service agreements, medical staff bylaws, and credentialing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policies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5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hospital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clients,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ensuring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Joint Commission and state licensure requirements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99" w:after="0"/>
        <w:ind w:left="759" w:right="431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preparing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responses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15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payer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requests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overpayment demands, recovering $2M in disputed claims through successful administrative appeals</w:t>
      </w:r>
    </w:p>
    <w:p>
      <w:pPr>
        <w:pStyle w:val="ListParagraph"/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3187" w:space="830"/>
            <w:col w:w="7620"/>
          </w:cols>
        </w:sectPr>
      </w:pPr>
    </w:p>
    <w:p>
      <w:pPr>
        <w:pStyle w:val="Heading1"/>
        <w:spacing w:before="179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790825"/>
                                </a:moveTo>
                                <a:lnTo>
                                  <a:pt x="0" y="27908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7908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1015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153650">
                                <a:moveTo>
                                  <a:pt x="2466974" y="10153649"/>
                                </a:moveTo>
                                <a:lnTo>
                                  <a:pt x="0" y="10153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1015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7908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3899;top:0;width:8019;height:16858" id="docshape3" coordorigin="3900,0" coordsize="8019,16858" path="m11918,4395l3900,4395,3900,16858,11918,16858,11918,439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599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4395;width:480;height:600" id="docshape9" coordorigin="3405,4395" coordsize="480,600" path="m3885,4995l3405,4395,3885,4395,3885,499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18553"/>
          <w:spacing w:val="-2"/>
        </w:rPr>
        <w:t>EDUCATION</w:t>
      </w:r>
    </w:p>
    <w:p>
      <w:pPr>
        <w:spacing w:before="166"/>
        <w:ind w:left="4126" w:right="0" w:firstLine="0"/>
        <w:jc w:val="left"/>
        <w:rPr>
          <w:sz w:val="20"/>
        </w:rPr>
      </w:pPr>
      <w:r>
        <w:rPr>
          <w:sz w:val="20"/>
        </w:rPr>
        <w:t>Juris</w:t>
      </w:r>
      <w:r>
        <w:rPr>
          <w:spacing w:val="5"/>
          <w:sz w:val="20"/>
        </w:rPr>
        <w:t> </w:t>
      </w:r>
      <w:r>
        <w:rPr>
          <w:sz w:val="20"/>
        </w:rPr>
        <w:t>Doctor</w:t>
      </w:r>
      <w:r>
        <w:rPr>
          <w:spacing w:val="6"/>
          <w:sz w:val="20"/>
        </w:rPr>
        <w:t> </w:t>
      </w:r>
      <w:r>
        <w:rPr>
          <w:sz w:val="20"/>
        </w:rPr>
        <w:t>(J.D.)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2014</w:t>
      </w:r>
    </w:p>
    <w:p>
      <w:pPr>
        <w:pStyle w:val="BodyText"/>
        <w:spacing w:before="29"/>
        <w:ind w:left="4126" w:firstLine="0"/>
      </w:pPr>
      <w:r>
        <w:rPr>
          <w:color w:val="134E5C"/>
        </w:rPr>
        <w:t>Top-Tier</w:t>
      </w:r>
      <w:r>
        <w:rPr>
          <w:color w:val="134E5C"/>
          <w:spacing w:val="-2"/>
        </w:rPr>
        <w:t> </w:t>
      </w:r>
      <w:r>
        <w:rPr>
          <w:color w:val="134E5C"/>
        </w:rPr>
        <w:t>Law</w:t>
      </w:r>
      <w:r>
        <w:rPr>
          <w:color w:val="134E5C"/>
          <w:spacing w:val="-2"/>
        </w:rPr>
        <w:t> </w:t>
      </w:r>
      <w:r>
        <w:rPr>
          <w:color w:val="134E5C"/>
        </w:rPr>
        <w:t>School</w:t>
      </w:r>
      <w:r>
        <w:rPr>
          <w:color w:val="134E5C"/>
          <w:spacing w:val="-2"/>
        </w:rPr>
        <w:t> </w:t>
      </w:r>
      <w:r>
        <w:rPr>
          <w:color w:val="134E5C"/>
        </w:rPr>
        <w:t>|</w:t>
      </w:r>
      <w:r>
        <w:rPr>
          <w:color w:val="134E5C"/>
          <w:spacing w:val="-1"/>
        </w:rPr>
        <w:t> </w:t>
      </w:r>
      <w:r>
        <w:rPr>
          <w:color w:val="134E5C"/>
        </w:rPr>
        <w:t>City,</w:t>
      </w:r>
      <w:r>
        <w:rPr>
          <w:color w:val="134E5C"/>
          <w:spacing w:val="-2"/>
        </w:rPr>
        <w:t> </w:t>
      </w:r>
      <w:r>
        <w:rPr>
          <w:color w:val="134E5C"/>
          <w:spacing w:val="-5"/>
        </w:rPr>
        <w:t>ST</w:t>
      </w:r>
    </w:p>
    <w:p>
      <w:pPr>
        <w:spacing w:before="149"/>
        <w:ind w:left="4126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Health</w:t>
      </w:r>
      <w:r>
        <w:rPr>
          <w:spacing w:val="6"/>
          <w:sz w:val="20"/>
        </w:rPr>
        <w:t> </w:t>
      </w:r>
      <w:r>
        <w:rPr>
          <w:sz w:val="20"/>
        </w:rPr>
        <w:t>Policy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0"/>
        <w:ind w:left="0"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2476499</wp:posOffset>
                </wp:positionH>
                <wp:positionV relativeFrom="page">
                  <wp:posOffset>0</wp:posOffset>
                </wp:positionV>
                <wp:extent cx="5092065" cy="1070483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50920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065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5091683" y="0"/>
                              </a:lnTo>
                              <a:lnTo>
                                <a:pt x="5091683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999985pt;margin-top:.00003pt;width:400.919994pt;height:842.879995pt;mso-position-horizontal-relative:page;mso-position-vertical-relative:page;z-index:-15774720" id="docshape10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323849</wp:posOffset>
                </wp:positionV>
                <wp:extent cx="2466975" cy="5715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466975" cy="571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571500">
                              <a:moveTo>
                                <a:pt x="2466974" y="571499"/>
                              </a:moveTo>
                              <a:lnTo>
                                <a:pt x="0" y="571499"/>
                              </a:lnTo>
                              <a:lnTo>
                                <a:pt x="0" y="0"/>
                              </a:lnTo>
                              <a:lnTo>
                                <a:pt x="2466974" y="0"/>
                              </a:lnTo>
                              <a:lnTo>
                                <a:pt x="2466974" y="5714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5.499973pt;width:194.249985pt;height:44.999996pt;mso-position-horizontal-relative:page;mso-position-vertical-relative:page;z-index:15730176" id="docshape11" filled="true" fillcolor="#fffff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ind w:left="0" w:firstLine="0"/>
      </w:pPr>
    </w:p>
    <w:p>
      <w:pPr>
        <w:pStyle w:val="BodyText"/>
        <w:spacing w:before="0"/>
        <w:ind w:left="3610" w:right="4931" w:firstLine="0"/>
        <w:jc w:val="center"/>
      </w:pPr>
      <w:r>
        <w:rPr>
          <w:color w:val="134E5C"/>
        </w:rPr>
        <w:t>State University | City, </w:t>
      </w:r>
      <w:r>
        <w:rPr>
          <w:color w:val="134E5C"/>
          <w:spacing w:val="-5"/>
        </w:rPr>
        <w:t>ST</w:t>
      </w:r>
    </w:p>
    <w:sectPr>
      <w:pgSz w:w="11920" w:h="16860"/>
      <w:pgMar w:top="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  <w:ind w:left="759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59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2026-03-19T16:06:56Z</dcterms:created>
  <dcterms:modified xsi:type="dcterms:W3CDTF">2026-03-19T16:06:56Z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2026-03-19T00:00:00Z</vt:filetime>
  </property>
  <property fmtid="{D5CDD505-2E9C-101B-9397-08002B2CF9AE}" pid="5" name="Producer">
    <vt:lpwstr>pdf-merger-js</vt:lpwstr>
  </property>
</Properties>
</file>