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5613" w:right="1284" w:firstLine="0"/>
        <w:jc w:val="center"/>
        <w:rPr>
          <w:sz w:val="74"/>
        </w:rPr>
      </w:pPr>
      <w:r>
        <w:rPr>
          <w:b/>
          <w:color w:val="49443D"/>
          <w:spacing w:val="11"/>
          <w:sz w:val="74"/>
        </w:rPr>
        <w:t>Robert</w:t>
      </w:r>
      <w:r>
        <w:rPr>
          <w:b/>
          <w:color w:val="49443D"/>
          <w:spacing w:val="35"/>
          <w:sz w:val="74"/>
        </w:rPr>
        <w:t> </w:t>
      </w:r>
      <w:r>
        <w:rPr>
          <w:color w:val="49443D"/>
          <w:spacing w:val="6"/>
          <w:sz w:val="74"/>
        </w:rPr>
        <w:t>King</w:t>
      </w:r>
    </w:p>
    <w:p>
      <w:pPr>
        <w:spacing w:before="83"/>
        <w:ind w:left="5624" w:right="1284" w:firstLine="0"/>
        <w:jc w:val="center"/>
        <w:rPr>
          <w:b/>
          <w:sz w:val="16"/>
        </w:rPr>
      </w:pPr>
      <w:r>
        <w:rPr>
          <w:b/>
          <w:color w:val="49443D"/>
          <w:w w:val="105"/>
          <w:sz w:val="16"/>
        </w:rPr>
        <w:t>Corporate</w:t>
      </w:r>
      <w:r>
        <w:rPr>
          <w:b/>
          <w:color w:val="49443D"/>
          <w:spacing w:val="22"/>
          <w:w w:val="105"/>
          <w:sz w:val="16"/>
        </w:rPr>
        <w:t> </w:t>
      </w:r>
      <w:r>
        <w:rPr>
          <w:b/>
          <w:color w:val="49443D"/>
          <w:w w:val="105"/>
          <w:sz w:val="16"/>
        </w:rPr>
        <w:t>Strategy</w:t>
      </w:r>
      <w:r>
        <w:rPr>
          <w:b/>
          <w:color w:val="49443D"/>
          <w:spacing w:val="22"/>
          <w:w w:val="105"/>
          <w:sz w:val="16"/>
        </w:rPr>
        <w:t> </w:t>
      </w:r>
      <w:r>
        <w:rPr>
          <w:b/>
          <w:color w:val="49443D"/>
          <w:spacing w:val="-2"/>
          <w:w w:val="105"/>
          <w:sz w:val="16"/>
        </w:rPr>
        <w:t>Consultant</w:t>
      </w:r>
    </w:p>
    <w:p>
      <w:pPr>
        <w:pStyle w:val="BodyText"/>
        <w:rPr>
          <w:b/>
          <w:sz w:val="18"/>
        </w:rPr>
      </w:pPr>
    </w:p>
    <w:p>
      <w:pPr>
        <w:pStyle w:val="BodyText"/>
        <w:spacing w:before="88"/>
        <w:rPr>
          <w:b/>
          <w:sz w:val="18"/>
        </w:rPr>
      </w:pPr>
    </w:p>
    <w:p>
      <w:pPr>
        <w:pStyle w:val="Heading1"/>
        <w:ind w:left="0" w:right="1284"/>
        <w:jc w:val="center"/>
      </w:pPr>
      <w:r>
        <w:rPr>
          <w:color w:val="49443D"/>
          <w:w w:val="105"/>
        </w:rPr>
        <w:t>A</w:t>
      </w:r>
      <w:r>
        <w:rPr>
          <w:color w:val="49443D"/>
          <w:spacing w:val="-16"/>
          <w:w w:val="105"/>
        </w:rPr>
        <w:t> </w:t>
      </w:r>
      <w:r>
        <w:rPr>
          <w:color w:val="49443D"/>
          <w:w w:val="105"/>
        </w:rPr>
        <w:t>B</w:t>
      </w:r>
      <w:r>
        <w:rPr>
          <w:color w:val="49443D"/>
          <w:spacing w:val="-15"/>
          <w:w w:val="105"/>
        </w:rPr>
        <w:t> </w:t>
      </w:r>
      <w:r>
        <w:rPr>
          <w:color w:val="49443D"/>
          <w:w w:val="105"/>
        </w:rPr>
        <w:t>O</w:t>
      </w:r>
      <w:r>
        <w:rPr>
          <w:color w:val="49443D"/>
          <w:spacing w:val="-16"/>
          <w:w w:val="105"/>
        </w:rPr>
        <w:t> </w:t>
      </w:r>
      <w:r>
        <w:rPr>
          <w:color w:val="49443D"/>
          <w:w w:val="105"/>
        </w:rPr>
        <w:t>U</w:t>
      </w:r>
      <w:r>
        <w:rPr>
          <w:color w:val="49443D"/>
          <w:spacing w:val="-15"/>
          <w:w w:val="105"/>
        </w:rPr>
        <w:t> </w:t>
      </w:r>
      <w:r>
        <w:rPr>
          <w:color w:val="49443D"/>
          <w:w w:val="105"/>
        </w:rPr>
        <w:t>T</w:t>
      </w:r>
      <w:r>
        <w:rPr>
          <w:color w:val="49443D"/>
          <w:spacing w:val="56"/>
          <w:w w:val="105"/>
        </w:rPr>
        <w:t> </w:t>
      </w:r>
      <w:r>
        <w:rPr>
          <w:color w:val="49443D"/>
          <w:w w:val="105"/>
        </w:rPr>
        <w:t>M</w:t>
      </w:r>
      <w:r>
        <w:rPr>
          <w:color w:val="49443D"/>
          <w:spacing w:val="-15"/>
          <w:w w:val="105"/>
        </w:rPr>
        <w:t> </w:t>
      </w:r>
      <w:r>
        <w:rPr>
          <w:color w:val="49443D"/>
          <w:spacing w:val="-10"/>
          <w:w w:val="105"/>
        </w:rPr>
        <w:t>E</w:t>
      </w:r>
    </w:p>
    <w:p>
      <w:pPr>
        <w:pStyle w:val="BodyText"/>
        <w:spacing w:before="4"/>
        <w:rPr>
          <w:b/>
          <w:sz w:val="9"/>
        </w:rPr>
      </w:pPr>
    </w:p>
    <w:p>
      <w:pPr>
        <w:pStyle w:val="BodyText"/>
        <w:spacing w:after="0"/>
        <w:rPr>
          <w:b/>
          <w:sz w:val="9"/>
        </w:rPr>
        <w:sectPr>
          <w:type w:val="continuous"/>
          <w:pgSz w:w="11920" w:h="16860"/>
          <w:pgMar w:top="980" w:bottom="280" w:left="425" w:right="283"/>
        </w:sect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202"/>
        <w:rPr>
          <w:b/>
          <w:sz w:val="18"/>
        </w:rPr>
      </w:pPr>
    </w:p>
    <w:p>
      <w:pPr>
        <w:spacing w:before="0"/>
        <w:ind w:left="95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C</w:t>
      </w:r>
      <w:r>
        <w:rPr>
          <w:b/>
          <w:color w:val="FFFFFF"/>
          <w:spacing w:val="-1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N</w:t>
      </w:r>
      <w:r>
        <w:rPr>
          <w:b/>
          <w:color w:val="FFFFFF"/>
          <w:spacing w:val="-1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T</w:t>
      </w:r>
      <w:r>
        <w:rPr>
          <w:b/>
          <w:color w:val="FFFFFF"/>
          <w:spacing w:val="-2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</w:t>
      </w:r>
      <w:r>
        <w:rPr>
          <w:b/>
          <w:color w:val="FFFFFF"/>
          <w:spacing w:val="-1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T</w:t>
      </w:r>
      <w:r>
        <w:rPr>
          <w:b/>
          <w:color w:val="FFFFFF"/>
          <w:spacing w:val="3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</w:t>
      </w:r>
      <w:r>
        <w:rPr>
          <w:b/>
          <w:color w:val="FFFFFF"/>
          <w:spacing w:val="-1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N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F</w:t>
      </w:r>
      <w:r>
        <w:rPr>
          <w:b/>
          <w:color w:val="FFFFFF"/>
          <w:spacing w:val="-1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R</w:t>
      </w:r>
      <w:r>
        <w:rPr>
          <w:b/>
          <w:color w:val="FFFFFF"/>
          <w:spacing w:val="-1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M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</w:t>
      </w:r>
      <w:r>
        <w:rPr>
          <w:b/>
          <w:color w:val="FFFFFF"/>
          <w:spacing w:val="-30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T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</w:t>
      </w:r>
      <w:r>
        <w:rPr>
          <w:b/>
          <w:color w:val="FFFFFF"/>
          <w:spacing w:val="-1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spacing w:val="-10"/>
          <w:w w:val="105"/>
          <w:sz w:val="18"/>
        </w:rPr>
        <w:t>N</w:t>
      </w:r>
    </w:p>
    <w:p>
      <w:pPr>
        <w:pStyle w:val="BodyText"/>
        <w:spacing w:before="141"/>
        <w:rPr>
          <w:b/>
          <w:sz w:val="18"/>
        </w:rPr>
      </w:pPr>
    </w:p>
    <w:p>
      <w:pPr>
        <w:spacing w:before="0"/>
        <w:ind w:left="969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(555)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000-</w:t>
      </w:r>
      <w:r>
        <w:rPr>
          <w:color w:val="FFFFFF"/>
          <w:spacing w:val="-4"/>
          <w:w w:val="105"/>
          <w:sz w:val="18"/>
        </w:rPr>
        <w:t>0000</w:t>
      </w:r>
    </w:p>
    <w:p>
      <w:pPr>
        <w:pStyle w:val="BodyText"/>
        <w:spacing w:before="171"/>
        <w:rPr>
          <w:sz w:val="18"/>
        </w:rPr>
      </w:pPr>
    </w:p>
    <w:p>
      <w:pPr>
        <w:spacing w:line="93" w:lineRule="exact" w:before="0"/>
        <w:ind w:left="969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line="297" w:lineRule="auto" w:before="79"/>
        <w:ind w:left="95"/>
      </w:pPr>
      <w:r>
        <w:rPr/>
        <w:br w:type="column"/>
      </w:r>
      <w:r>
        <w:rPr>
          <w:w w:val="105"/>
        </w:rPr>
        <w:t>Corporate</w:t>
      </w:r>
      <w:r>
        <w:rPr>
          <w:spacing w:val="40"/>
          <w:w w:val="105"/>
        </w:rPr>
        <w:t> </w:t>
      </w:r>
      <w:r>
        <w:rPr>
          <w:w w:val="105"/>
        </w:rPr>
        <w:t>strategy</w:t>
      </w:r>
      <w:r>
        <w:rPr>
          <w:spacing w:val="40"/>
          <w:w w:val="105"/>
        </w:rPr>
        <w:t> </w:t>
      </w:r>
      <w:r>
        <w:rPr>
          <w:w w:val="105"/>
        </w:rPr>
        <w:t>consultant</w:t>
      </w:r>
      <w:r>
        <w:rPr>
          <w:spacing w:val="40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10+</w:t>
      </w:r>
      <w:r>
        <w:rPr>
          <w:spacing w:val="40"/>
          <w:w w:val="105"/>
        </w:rPr>
        <w:t> </w:t>
      </w:r>
      <w:r>
        <w:rPr>
          <w:w w:val="105"/>
        </w:rPr>
        <w:t>years</w:t>
      </w:r>
      <w:r>
        <w:rPr>
          <w:spacing w:val="40"/>
          <w:w w:val="105"/>
        </w:rPr>
        <w:t> </w:t>
      </w:r>
      <w:r>
        <w:rPr>
          <w:w w:val="105"/>
        </w:rPr>
        <w:t>advising</w:t>
      </w:r>
      <w:r>
        <w:rPr>
          <w:spacing w:val="40"/>
          <w:w w:val="105"/>
        </w:rPr>
        <w:t> </w:t>
      </w:r>
      <w:r>
        <w:rPr>
          <w:w w:val="105"/>
        </w:rPr>
        <w:t>global</w:t>
      </w:r>
      <w:r>
        <w:rPr>
          <w:spacing w:val="40"/>
          <w:w w:val="105"/>
        </w:rPr>
        <w:t> </w:t>
      </w:r>
      <w:r>
        <w:rPr>
          <w:w w:val="105"/>
        </w:rPr>
        <w:t>organizations</w:t>
      </w:r>
      <w:r>
        <w:rPr>
          <w:spacing w:val="40"/>
          <w:w w:val="105"/>
        </w:rPr>
        <w:t> </w:t>
      </w:r>
      <w:r>
        <w:rPr>
          <w:w w:val="105"/>
        </w:rPr>
        <w:t>on</w:t>
      </w:r>
      <w:r>
        <w:rPr>
          <w:spacing w:val="40"/>
          <w:w w:val="105"/>
        </w:rPr>
        <w:t> </w:t>
      </w:r>
      <w:r>
        <w:rPr>
          <w:w w:val="105"/>
        </w:rPr>
        <w:t>growth strategy,</w:t>
      </w:r>
      <w:r>
        <w:rPr>
          <w:spacing w:val="40"/>
          <w:w w:val="105"/>
        </w:rPr>
        <w:t> </w:t>
      </w:r>
      <w:r>
        <w:rPr>
          <w:w w:val="105"/>
        </w:rPr>
        <w:t>competitive</w:t>
      </w:r>
      <w:r>
        <w:rPr>
          <w:spacing w:val="40"/>
          <w:w w:val="105"/>
        </w:rPr>
        <w:t> </w:t>
      </w:r>
      <w:r>
        <w:rPr>
          <w:w w:val="105"/>
        </w:rPr>
        <w:t>positioning,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operational</w:t>
      </w:r>
      <w:r>
        <w:rPr>
          <w:spacing w:val="40"/>
          <w:w w:val="105"/>
        </w:rPr>
        <w:t> </w:t>
      </w:r>
      <w:r>
        <w:rPr>
          <w:w w:val="105"/>
        </w:rPr>
        <w:t>excellence.</w:t>
      </w:r>
      <w:r>
        <w:rPr>
          <w:spacing w:val="40"/>
          <w:w w:val="105"/>
        </w:rPr>
        <w:t> </w:t>
      </w:r>
      <w:r>
        <w:rPr>
          <w:w w:val="105"/>
        </w:rPr>
        <w:t>Boosted</w:t>
      </w:r>
      <w:r>
        <w:rPr>
          <w:spacing w:val="40"/>
          <w:w w:val="105"/>
        </w:rPr>
        <w:t> </w:t>
      </w:r>
      <w:r>
        <w:rPr>
          <w:w w:val="105"/>
        </w:rPr>
        <w:t>average</w:t>
      </w:r>
      <w:r>
        <w:rPr>
          <w:spacing w:val="40"/>
          <w:w w:val="105"/>
        </w:rPr>
        <w:t> </w:t>
      </w:r>
      <w:r>
        <w:rPr>
          <w:w w:val="105"/>
        </w:rPr>
        <w:t>client revenue</w:t>
      </w:r>
      <w:r>
        <w:rPr>
          <w:spacing w:val="40"/>
          <w:w w:val="105"/>
        </w:rPr>
        <w:t> </w:t>
      </w:r>
      <w:r>
        <w:rPr>
          <w:w w:val="105"/>
        </w:rPr>
        <w:t>by</w:t>
      </w:r>
      <w:r>
        <w:rPr>
          <w:spacing w:val="40"/>
          <w:w w:val="105"/>
        </w:rPr>
        <w:t> </w:t>
      </w:r>
      <w:r>
        <w:rPr>
          <w:w w:val="105"/>
        </w:rPr>
        <w:t>18%</w:t>
      </w:r>
      <w:r>
        <w:rPr>
          <w:spacing w:val="40"/>
          <w:w w:val="105"/>
        </w:rPr>
        <w:t> </w:t>
      </w:r>
      <w:r>
        <w:rPr>
          <w:w w:val="105"/>
        </w:rPr>
        <w:t>through</w:t>
      </w:r>
      <w:r>
        <w:rPr>
          <w:spacing w:val="40"/>
          <w:w w:val="105"/>
        </w:rPr>
        <w:t> </w:t>
      </w:r>
      <w:r>
        <w:rPr>
          <w:w w:val="105"/>
        </w:rPr>
        <w:t>comprehensive</w:t>
      </w:r>
      <w:r>
        <w:rPr>
          <w:spacing w:val="40"/>
          <w:w w:val="105"/>
        </w:rPr>
        <w:t> </w:t>
      </w:r>
      <w:r>
        <w:rPr>
          <w:w w:val="105"/>
        </w:rPr>
        <w:t>market</w:t>
      </w:r>
      <w:r>
        <w:rPr>
          <w:spacing w:val="40"/>
          <w:w w:val="105"/>
        </w:rPr>
        <w:t> </w:t>
      </w:r>
      <w:r>
        <w:rPr>
          <w:w w:val="105"/>
        </w:rPr>
        <w:t>analyses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executive-aligned strategies</w:t>
      </w:r>
      <w:r>
        <w:rPr>
          <w:spacing w:val="39"/>
          <w:w w:val="105"/>
        </w:rPr>
        <w:t> </w:t>
      </w:r>
      <w:r>
        <w:rPr>
          <w:w w:val="105"/>
        </w:rPr>
        <w:t>at</w:t>
      </w:r>
      <w:r>
        <w:rPr>
          <w:spacing w:val="39"/>
          <w:w w:val="105"/>
        </w:rPr>
        <w:t> </w:t>
      </w:r>
      <w:r>
        <w:rPr>
          <w:w w:val="105"/>
        </w:rPr>
        <w:t>Bain</w:t>
      </w:r>
      <w:r>
        <w:rPr>
          <w:spacing w:val="39"/>
          <w:w w:val="105"/>
        </w:rPr>
        <w:t> </w:t>
      </w:r>
      <w:r>
        <w:rPr>
          <w:w w:val="105"/>
        </w:rPr>
        <w:t>&amp;</w:t>
      </w:r>
      <w:r>
        <w:rPr>
          <w:spacing w:val="39"/>
          <w:w w:val="105"/>
        </w:rPr>
        <w:t> </w:t>
      </w:r>
      <w:r>
        <w:rPr>
          <w:w w:val="105"/>
        </w:rPr>
        <w:t>Company,</w:t>
      </w:r>
      <w:r>
        <w:rPr>
          <w:spacing w:val="39"/>
          <w:w w:val="105"/>
        </w:rPr>
        <w:t> </w:t>
      </w:r>
      <w:r>
        <w:rPr>
          <w:w w:val="105"/>
        </w:rPr>
        <w:t>and</w:t>
      </w:r>
      <w:r>
        <w:rPr>
          <w:spacing w:val="39"/>
          <w:w w:val="105"/>
        </w:rPr>
        <w:t> </w:t>
      </w:r>
      <w:r>
        <w:rPr>
          <w:w w:val="105"/>
        </w:rPr>
        <w:t>improved</w:t>
      </w:r>
      <w:r>
        <w:rPr>
          <w:spacing w:val="39"/>
          <w:w w:val="105"/>
        </w:rPr>
        <w:t> </w:t>
      </w:r>
      <w:r>
        <w:rPr>
          <w:w w:val="105"/>
        </w:rPr>
        <w:t>operational</w:t>
      </w:r>
      <w:r>
        <w:rPr>
          <w:spacing w:val="39"/>
          <w:w w:val="105"/>
        </w:rPr>
        <w:t> </w:t>
      </w:r>
      <w:r>
        <w:rPr>
          <w:w w:val="105"/>
        </w:rPr>
        <w:t>efficiency</w:t>
      </w:r>
      <w:r>
        <w:rPr>
          <w:spacing w:val="39"/>
          <w:w w:val="105"/>
        </w:rPr>
        <w:t> </w:t>
      </w:r>
      <w:r>
        <w:rPr>
          <w:w w:val="105"/>
        </w:rPr>
        <w:t>by</w:t>
      </w:r>
      <w:r>
        <w:rPr>
          <w:spacing w:val="39"/>
          <w:w w:val="105"/>
        </w:rPr>
        <w:t> </w:t>
      </w:r>
      <w:r>
        <w:rPr>
          <w:w w:val="105"/>
        </w:rPr>
        <w:t>20%</w:t>
      </w:r>
      <w:r>
        <w:rPr>
          <w:spacing w:val="39"/>
          <w:w w:val="105"/>
        </w:rPr>
        <w:t> </w:t>
      </w:r>
      <w:r>
        <w:rPr>
          <w:w w:val="105"/>
        </w:rPr>
        <w:t>across strategic</w:t>
      </w:r>
      <w:r>
        <w:rPr>
          <w:spacing w:val="30"/>
          <w:w w:val="105"/>
        </w:rPr>
        <w:t> </w:t>
      </w:r>
      <w:r>
        <w:rPr>
          <w:w w:val="105"/>
        </w:rPr>
        <w:t>planning</w:t>
      </w:r>
      <w:r>
        <w:rPr>
          <w:spacing w:val="30"/>
          <w:w w:val="105"/>
        </w:rPr>
        <w:t> </w:t>
      </w:r>
      <w:r>
        <w:rPr>
          <w:w w:val="105"/>
        </w:rPr>
        <w:t>engagements</w:t>
      </w:r>
      <w:r>
        <w:rPr>
          <w:spacing w:val="30"/>
          <w:w w:val="105"/>
        </w:rPr>
        <w:t> </w:t>
      </w:r>
      <w:r>
        <w:rPr>
          <w:w w:val="105"/>
        </w:rPr>
        <w:t>at</w:t>
      </w:r>
      <w:r>
        <w:rPr>
          <w:spacing w:val="30"/>
          <w:w w:val="105"/>
        </w:rPr>
        <w:t> </w:t>
      </w:r>
      <w:r>
        <w:rPr>
          <w:w w:val="105"/>
        </w:rPr>
        <w:t>Deloitte.</w:t>
      </w:r>
      <w:r>
        <w:rPr>
          <w:spacing w:val="30"/>
          <w:w w:val="105"/>
        </w:rPr>
        <w:t> </w:t>
      </w:r>
      <w:r>
        <w:rPr>
          <w:w w:val="105"/>
        </w:rPr>
        <w:t>MBA</w:t>
      </w:r>
      <w:r>
        <w:rPr>
          <w:spacing w:val="30"/>
          <w:w w:val="105"/>
        </w:rPr>
        <w:t> </w:t>
      </w:r>
      <w:r>
        <w:rPr>
          <w:w w:val="105"/>
        </w:rPr>
        <w:t>from</w:t>
      </w:r>
      <w:r>
        <w:rPr>
          <w:spacing w:val="30"/>
          <w:w w:val="105"/>
        </w:rPr>
        <w:t> </w:t>
      </w:r>
      <w:r>
        <w:rPr>
          <w:w w:val="105"/>
        </w:rPr>
        <w:t>University</w:t>
      </w:r>
      <w:r>
        <w:rPr>
          <w:spacing w:val="30"/>
          <w:w w:val="105"/>
        </w:rPr>
        <w:t> </w:t>
      </w:r>
      <w:r>
        <w:rPr>
          <w:w w:val="105"/>
        </w:rPr>
        <w:t>of</w:t>
      </w:r>
      <w:r>
        <w:rPr>
          <w:spacing w:val="30"/>
          <w:w w:val="105"/>
        </w:rPr>
        <w:t> </w:t>
      </w:r>
      <w:r>
        <w:rPr>
          <w:w w:val="105"/>
        </w:rPr>
        <w:t>Southern</w:t>
      </w:r>
      <w:r>
        <w:rPr>
          <w:spacing w:val="30"/>
          <w:w w:val="105"/>
        </w:rPr>
        <w:t> </w:t>
      </w:r>
      <w:r>
        <w:rPr>
          <w:w w:val="105"/>
        </w:rPr>
        <w:t>California, BS in Business Administration from UCLA. Specializes in market analysis, competitive</w:t>
      </w:r>
      <w:r>
        <w:rPr>
          <w:spacing w:val="80"/>
          <w:w w:val="105"/>
        </w:rPr>
        <w:t> </w:t>
      </w:r>
      <w:r>
        <w:rPr>
          <w:w w:val="105"/>
        </w:rPr>
        <w:t>strategy,</w:t>
      </w:r>
      <w:r>
        <w:rPr>
          <w:spacing w:val="40"/>
          <w:w w:val="105"/>
        </w:rPr>
        <w:t> </w:t>
      </w:r>
      <w:r>
        <w:rPr>
          <w:w w:val="105"/>
        </w:rPr>
        <w:t>financial</w:t>
      </w:r>
      <w:r>
        <w:rPr>
          <w:spacing w:val="40"/>
          <w:w w:val="105"/>
        </w:rPr>
        <w:t> </w:t>
      </w:r>
      <w:r>
        <w:rPr>
          <w:w w:val="105"/>
        </w:rPr>
        <w:t>modeling,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organizational</w:t>
      </w:r>
      <w:r>
        <w:rPr>
          <w:spacing w:val="40"/>
          <w:w w:val="105"/>
        </w:rPr>
        <w:t> </w:t>
      </w:r>
      <w:r>
        <w:rPr>
          <w:w w:val="105"/>
        </w:rPr>
        <w:t>alignment.</w:t>
      </w:r>
    </w:p>
    <w:p>
      <w:pPr>
        <w:pStyle w:val="BodyText"/>
        <w:spacing w:before="45"/>
      </w:pPr>
    </w:p>
    <w:p>
      <w:pPr>
        <w:pStyle w:val="Heading1"/>
        <w:spacing w:before="1"/>
      </w:pPr>
      <w:r>
        <w:rPr>
          <w:color w:val="49443D"/>
        </w:rPr>
        <w:t>P</w:t>
      </w:r>
      <w:r>
        <w:rPr>
          <w:color w:val="49443D"/>
          <w:spacing w:val="-10"/>
        </w:rPr>
        <w:t> </w:t>
      </w:r>
      <w:r>
        <w:rPr>
          <w:color w:val="49443D"/>
        </w:rPr>
        <w:t>R</w:t>
      </w:r>
      <w:r>
        <w:rPr>
          <w:color w:val="49443D"/>
          <w:spacing w:val="-10"/>
        </w:rPr>
        <w:t> </w:t>
      </w:r>
      <w:r>
        <w:rPr>
          <w:color w:val="49443D"/>
        </w:rPr>
        <w:t>O</w:t>
      </w:r>
      <w:r>
        <w:rPr>
          <w:color w:val="49443D"/>
          <w:spacing w:val="-10"/>
        </w:rPr>
        <w:t> </w:t>
      </w:r>
      <w:r>
        <w:rPr>
          <w:color w:val="49443D"/>
        </w:rPr>
        <w:t>F</w:t>
      </w:r>
      <w:r>
        <w:rPr>
          <w:color w:val="49443D"/>
          <w:spacing w:val="-10"/>
        </w:rPr>
        <w:t> </w:t>
      </w:r>
      <w:r>
        <w:rPr>
          <w:color w:val="49443D"/>
        </w:rPr>
        <w:t>E</w:t>
      </w:r>
      <w:r>
        <w:rPr>
          <w:color w:val="49443D"/>
          <w:spacing w:val="-10"/>
        </w:rPr>
        <w:t> </w:t>
      </w:r>
      <w:r>
        <w:rPr>
          <w:color w:val="49443D"/>
        </w:rPr>
        <w:t>S</w:t>
      </w:r>
      <w:r>
        <w:rPr>
          <w:color w:val="49443D"/>
          <w:spacing w:val="-9"/>
        </w:rPr>
        <w:t> </w:t>
      </w:r>
      <w:r>
        <w:rPr>
          <w:color w:val="49443D"/>
        </w:rPr>
        <w:t>S</w:t>
      </w:r>
      <w:r>
        <w:rPr>
          <w:color w:val="49443D"/>
          <w:spacing w:val="-10"/>
        </w:rPr>
        <w:t> </w:t>
      </w:r>
      <w:r>
        <w:rPr>
          <w:color w:val="49443D"/>
        </w:rPr>
        <w:t>I</w:t>
      </w:r>
      <w:r>
        <w:rPr>
          <w:color w:val="49443D"/>
          <w:spacing w:val="-10"/>
        </w:rPr>
        <w:t> </w:t>
      </w:r>
      <w:r>
        <w:rPr>
          <w:color w:val="49443D"/>
        </w:rPr>
        <w:t>O</w:t>
      </w:r>
      <w:r>
        <w:rPr>
          <w:color w:val="49443D"/>
          <w:spacing w:val="-10"/>
        </w:rPr>
        <w:t> </w:t>
      </w:r>
      <w:r>
        <w:rPr>
          <w:color w:val="49443D"/>
        </w:rPr>
        <w:t>N</w:t>
      </w:r>
      <w:r>
        <w:rPr>
          <w:color w:val="49443D"/>
          <w:spacing w:val="-10"/>
        </w:rPr>
        <w:t> </w:t>
      </w:r>
      <w:r>
        <w:rPr>
          <w:color w:val="49443D"/>
        </w:rPr>
        <w:t>A</w:t>
      </w:r>
      <w:r>
        <w:rPr>
          <w:color w:val="49443D"/>
          <w:spacing w:val="-10"/>
        </w:rPr>
        <w:t> </w:t>
      </w:r>
      <w:r>
        <w:rPr>
          <w:color w:val="49443D"/>
        </w:rPr>
        <w:t>L</w:t>
      </w:r>
      <w:r>
        <w:rPr>
          <w:color w:val="49443D"/>
          <w:spacing w:val="58"/>
          <w:w w:val="150"/>
        </w:rPr>
        <w:t> </w:t>
      </w:r>
      <w:r>
        <w:rPr>
          <w:color w:val="49443D"/>
        </w:rPr>
        <w:t>E</w:t>
      </w:r>
      <w:r>
        <w:rPr>
          <w:color w:val="49443D"/>
          <w:spacing w:val="-10"/>
        </w:rPr>
        <w:t> </w:t>
      </w:r>
      <w:r>
        <w:rPr>
          <w:color w:val="49443D"/>
        </w:rPr>
        <w:t>X</w:t>
      </w:r>
      <w:r>
        <w:rPr>
          <w:color w:val="49443D"/>
          <w:spacing w:val="-10"/>
        </w:rPr>
        <w:t> </w:t>
      </w:r>
      <w:r>
        <w:rPr>
          <w:color w:val="49443D"/>
        </w:rPr>
        <w:t>P</w:t>
      </w:r>
      <w:r>
        <w:rPr>
          <w:color w:val="49443D"/>
          <w:spacing w:val="-10"/>
        </w:rPr>
        <w:t> </w:t>
      </w:r>
      <w:r>
        <w:rPr>
          <w:color w:val="49443D"/>
        </w:rPr>
        <w:t>E</w:t>
      </w:r>
      <w:r>
        <w:rPr>
          <w:color w:val="49443D"/>
          <w:spacing w:val="-10"/>
        </w:rPr>
        <w:t> </w:t>
      </w:r>
      <w:r>
        <w:rPr>
          <w:color w:val="49443D"/>
        </w:rPr>
        <w:t>R</w:t>
      </w:r>
      <w:r>
        <w:rPr>
          <w:color w:val="49443D"/>
          <w:spacing w:val="-9"/>
        </w:rPr>
        <w:t> </w:t>
      </w:r>
      <w:r>
        <w:rPr>
          <w:color w:val="49443D"/>
        </w:rPr>
        <w:t>I</w:t>
      </w:r>
      <w:r>
        <w:rPr>
          <w:color w:val="49443D"/>
          <w:spacing w:val="-10"/>
        </w:rPr>
        <w:t> </w:t>
      </w:r>
      <w:r>
        <w:rPr>
          <w:color w:val="49443D"/>
        </w:rPr>
        <w:t>E</w:t>
      </w:r>
      <w:r>
        <w:rPr>
          <w:color w:val="49443D"/>
          <w:spacing w:val="-10"/>
        </w:rPr>
        <w:t> </w:t>
      </w:r>
      <w:r>
        <w:rPr>
          <w:color w:val="49443D"/>
        </w:rPr>
        <w:t>N</w:t>
      </w:r>
      <w:r>
        <w:rPr>
          <w:color w:val="49443D"/>
          <w:spacing w:val="-10"/>
        </w:rPr>
        <w:t> </w:t>
      </w:r>
      <w:r>
        <w:rPr>
          <w:color w:val="49443D"/>
        </w:rPr>
        <w:t>C</w:t>
      </w:r>
      <w:r>
        <w:rPr>
          <w:color w:val="49443D"/>
          <w:spacing w:val="-10"/>
        </w:rPr>
        <w:t> E</w:t>
      </w:r>
    </w:p>
    <w:p>
      <w:pPr>
        <w:spacing w:before="183"/>
        <w:ind w:left="95" w:right="0" w:firstLine="0"/>
        <w:jc w:val="left"/>
        <w:rPr>
          <w:sz w:val="18"/>
        </w:rPr>
      </w:pPr>
      <w:r>
        <w:rPr>
          <w:w w:val="105"/>
          <w:sz w:val="18"/>
        </w:rPr>
        <w:t>Corporate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Strategy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Consultant</w:t>
      </w:r>
    </w:p>
    <w:p>
      <w:pPr>
        <w:spacing w:before="48"/>
        <w:ind w:left="95" w:right="0" w:firstLine="0"/>
        <w:jc w:val="left"/>
        <w:rPr>
          <w:sz w:val="18"/>
        </w:rPr>
      </w:pPr>
      <w:r>
        <w:rPr>
          <w:w w:val="105"/>
          <w:sz w:val="18"/>
        </w:rPr>
        <w:t>Bain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&amp;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Company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Los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Angeles,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CA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February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2014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80" w:bottom="280" w:left="425" w:right="283"/>
          <w:cols w:num="2" w:equalWidth="0">
            <w:col w:w="3050" w:space="1191"/>
            <w:col w:w="6971"/>
          </w:cols>
        </w:sectPr>
      </w:pPr>
    </w:p>
    <w:p>
      <w:pPr>
        <w:pStyle w:val="BodyText"/>
        <w:rPr>
          <w:sz w:val="18"/>
        </w:rPr>
      </w:pPr>
    </w:p>
    <w:p>
      <w:pPr>
        <w:pStyle w:val="BodyText"/>
        <w:spacing w:before="93"/>
        <w:rPr>
          <w:sz w:val="18"/>
        </w:rPr>
      </w:pPr>
    </w:p>
    <w:p>
      <w:pPr>
        <w:spacing w:before="0"/>
        <w:ind w:left="969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Los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Angeles,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CA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pStyle w:val="Heading1"/>
        <w:spacing w:line="470" w:lineRule="auto"/>
        <w:ind w:left="281" w:right="1353" w:hanging="186"/>
      </w:pPr>
      <w:r>
        <w:rPr>
          <w:color w:val="FFFFFF"/>
          <w:spacing w:val="-4"/>
          <w:w w:val="105"/>
        </w:rPr>
        <w:t>E</w:t>
      </w:r>
      <w:r>
        <w:rPr>
          <w:color w:val="FFFFFF"/>
          <w:spacing w:val="-18"/>
          <w:w w:val="105"/>
        </w:rPr>
        <w:t> </w:t>
      </w:r>
      <w:r>
        <w:rPr>
          <w:color w:val="FFFFFF"/>
          <w:spacing w:val="-4"/>
          <w:w w:val="105"/>
        </w:rPr>
        <w:t>D</w:t>
      </w:r>
      <w:r>
        <w:rPr>
          <w:color w:val="FFFFFF"/>
          <w:spacing w:val="-15"/>
          <w:w w:val="105"/>
        </w:rPr>
        <w:t> </w:t>
      </w:r>
      <w:r>
        <w:rPr>
          <w:color w:val="FFFFFF"/>
          <w:spacing w:val="-4"/>
          <w:w w:val="105"/>
        </w:rPr>
        <w:t>U</w:t>
      </w:r>
      <w:r>
        <w:rPr>
          <w:color w:val="FFFFFF"/>
          <w:spacing w:val="-16"/>
          <w:w w:val="105"/>
        </w:rPr>
        <w:t> </w:t>
      </w:r>
      <w:r>
        <w:rPr>
          <w:color w:val="FFFFFF"/>
          <w:spacing w:val="-4"/>
          <w:w w:val="105"/>
        </w:rPr>
        <w:t>C</w:t>
      </w:r>
      <w:r>
        <w:rPr>
          <w:color w:val="FFFFFF"/>
          <w:spacing w:val="-15"/>
          <w:w w:val="105"/>
        </w:rPr>
        <w:t> </w:t>
      </w:r>
      <w:r>
        <w:rPr>
          <w:color w:val="FFFFFF"/>
          <w:spacing w:val="-4"/>
          <w:w w:val="105"/>
        </w:rPr>
        <w:t>A</w:t>
      </w:r>
      <w:r>
        <w:rPr>
          <w:color w:val="FFFFFF"/>
          <w:spacing w:val="-30"/>
          <w:w w:val="105"/>
        </w:rPr>
        <w:t> </w:t>
      </w:r>
      <w:r>
        <w:rPr>
          <w:color w:val="FFFFFF"/>
          <w:spacing w:val="-4"/>
          <w:w w:val="105"/>
        </w:rPr>
        <w:t>T</w:t>
      </w:r>
      <w:r>
        <w:rPr>
          <w:color w:val="FFFFFF"/>
          <w:spacing w:val="-15"/>
          <w:w w:val="105"/>
        </w:rPr>
        <w:t> </w:t>
      </w:r>
      <w:r>
        <w:rPr>
          <w:color w:val="FFFFFF"/>
          <w:spacing w:val="-4"/>
          <w:w w:val="105"/>
        </w:rPr>
        <w:t>I</w:t>
      </w:r>
      <w:r>
        <w:rPr>
          <w:color w:val="FFFFFF"/>
          <w:spacing w:val="-16"/>
          <w:w w:val="105"/>
        </w:rPr>
        <w:t> </w:t>
      </w:r>
      <w:r>
        <w:rPr>
          <w:color w:val="FFFFFF"/>
          <w:spacing w:val="-4"/>
          <w:w w:val="105"/>
        </w:rPr>
        <w:t>O</w:t>
      </w:r>
      <w:r>
        <w:rPr>
          <w:color w:val="FFFFFF"/>
          <w:spacing w:val="-15"/>
          <w:w w:val="105"/>
        </w:rPr>
        <w:t> </w:t>
      </w:r>
      <w:r>
        <w:rPr>
          <w:color w:val="FFFFFF"/>
          <w:spacing w:val="-4"/>
          <w:w w:val="105"/>
        </w:rPr>
        <w:t>N MBA</w:t>
      </w:r>
    </w:p>
    <w:p>
      <w:pPr>
        <w:spacing w:line="295" w:lineRule="auto" w:before="89"/>
        <w:ind w:left="281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University of Southern California | Los Angeles, CA | May 2013</w:t>
      </w:r>
    </w:p>
    <w:p>
      <w:pPr>
        <w:pStyle w:val="Heading1"/>
        <w:spacing w:before="181"/>
        <w:ind w:left="281"/>
      </w:pPr>
      <w:r>
        <w:rPr>
          <w:color w:val="FFFFFF"/>
          <w:w w:val="105"/>
        </w:rPr>
        <w:t>BS</w:t>
      </w:r>
      <w:r>
        <w:rPr>
          <w:color w:val="FFFFFF"/>
          <w:spacing w:val="6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6"/>
          <w:w w:val="105"/>
        </w:rPr>
        <w:t> </w:t>
      </w:r>
      <w:r>
        <w:rPr>
          <w:color w:val="FFFFFF"/>
          <w:w w:val="105"/>
        </w:rPr>
        <w:t>Business</w:t>
      </w:r>
      <w:r>
        <w:rPr>
          <w:color w:val="FFFFFF"/>
          <w:spacing w:val="1"/>
          <w:w w:val="105"/>
        </w:rPr>
        <w:t> </w:t>
      </w:r>
      <w:r>
        <w:rPr>
          <w:color w:val="FFFFFF"/>
          <w:spacing w:val="-2"/>
          <w:w w:val="105"/>
        </w:rPr>
        <w:t>Administration</w:t>
      </w:r>
    </w:p>
    <w:p>
      <w:pPr>
        <w:pStyle w:val="BodyText"/>
        <w:spacing w:before="81"/>
        <w:rPr>
          <w:b/>
          <w:sz w:val="18"/>
        </w:rPr>
      </w:pPr>
    </w:p>
    <w:p>
      <w:pPr>
        <w:spacing w:line="295" w:lineRule="auto" w:before="0"/>
        <w:ind w:left="281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University of California, Los Angeles | Los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w w:val="105"/>
          <w:sz w:val="18"/>
        </w:rPr>
        <w:t>Angeles, CA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w w:val="105"/>
          <w:sz w:val="18"/>
        </w:rPr>
        <w:t>| May </w:t>
      </w:r>
      <w:r>
        <w:rPr>
          <w:color w:val="FFFFFF"/>
          <w:spacing w:val="-4"/>
          <w:w w:val="105"/>
          <w:sz w:val="18"/>
        </w:rPr>
        <w:t>2009</w:t>
      </w:r>
    </w:p>
    <w:p>
      <w:pPr>
        <w:pStyle w:val="BodyText"/>
        <w:spacing w:before="64"/>
        <w:rPr>
          <w:sz w:val="18"/>
        </w:rPr>
      </w:pPr>
    </w:p>
    <w:p>
      <w:pPr>
        <w:pStyle w:val="Heading1"/>
      </w:pPr>
      <w:r>
        <w:rPr>
          <w:color w:val="FFFFFF"/>
          <w:w w:val="105"/>
        </w:rPr>
        <w:t>K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E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Y</w:t>
      </w:r>
      <w:r>
        <w:rPr>
          <w:color w:val="FFFFFF"/>
          <w:spacing w:val="51"/>
          <w:w w:val="105"/>
        </w:rPr>
        <w:t> </w:t>
      </w:r>
      <w:r>
        <w:rPr>
          <w:color w:val="FFFFFF"/>
          <w:w w:val="105"/>
        </w:rPr>
        <w:t>S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K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I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L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L</w:t>
      </w:r>
      <w:r>
        <w:rPr>
          <w:color w:val="FFFFFF"/>
          <w:spacing w:val="-15"/>
          <w:w w:val="105"/>
        </w:rPr>
        <w:t> </w:t>
      </w:r>
      <w:r>
        <w:rPr>
          <w:color w:val="FFFFFF"/>
          <w:spacing w:val="-10"/>
          <w:w w:val="105"/>
        </w:rPr>
        <w:t>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  <w:tab w:pos="393" w:val="left" w:leader="none"/>
        </w:tabs>
        <w:spacing w:line="196" w:lineRule="auto" w:before="37" w:after="0"/>
        <w:ind w:left="393" w:right="218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Developed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growth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competitive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strategies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15+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global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clients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across consumer,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industrial,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technology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sectors,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boosting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average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revenue</w:t>
      </w:r>
    </w:p>
    <w:p>
      <w:pPr>
        <w:pStyle w:val="BodyText"/>
        <w:spacing w:before="46"/>
        <w:ind w:left="393"/>
      </w:pPr>
      <w:r>
        <w:rPr>
          <w:w w:val="105"/>
        </w:rPr>
        <w:t>by</w:t>
      </w:r>
      <w:r>
        <w:rPr>
          <w:spacing w:val="15"/>
          <w:w w:val="105"/>
        </w:rPr>
        <w:t> </w:t>
      </w:r>
      <w:r>
        <w:rPr>
          <w:w w:val="105"/>
        </w:rPr>
        <w:t>18%</w:t>
      </w:r>
      <w:r>
        <w:rPr>
          <w:spacing w:val="15"/>
          <w:w w:val="105"/>
        </w:rPr>
        <w:t> </w:t>
      </w:r>
      <w:r>
        <w:rPr>
          <w:w w:val="105"/>
        </w:rPr>
        <w:t>within</w:t>
      </w:r>
      <w:r>
        <w:rPr>
          <w:spacing w:val="16"/>
          <w:w w:val="105"/>
        </w:rPr>
        <w:t> </w:t>
      </w:r>
      <w:r>
        <w:rPr>
          <w:w w:val="105"/>
        </w:rPr>
        <w:t>18</w:t>
      </w:r>
      <w:r>
        <w:rPr>
          <w:spacing w:val="15"/>
          <w:w w:val="105"/>
        </w:rPr>
        <w:t> </w:t>
      </w:r>
      <w:r>
        <w:rPr>
          <w:w w:val="105"/>
        </w:rPr>
        <w:t>months</w:t>
      </w:r>
      <w:r>
        <w:rPr>
          <w:spacing w:val="16"/>
          <w:w w:val="105"/>
        </w:rPr>
        <w:t> </w:t>
      </w:r>
      <w:r>
        <w:rPr>
          <w:w w:val="105"/>
        </w:rPr>
        <w:t>of</w:t>
      </w:r>
      <w:r>
        <w:rPr>
          <w:spacing w:val="15"/>
          <w:w w:val="105"/>
        </w:rPr>
        <w:t> </w:t>
      </w:r>
      <w:r>
        <w:rPr>
          <w:w w:val="105"/>
        </w:rPr>
        <w:t>strategy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implementation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  <w:tab w:pos="393" w:val="left" w:leader="none"/>
        </w:tabs>
        <w:spacing w:line="196" w:lineRule="auto" w:before="107" w:after="0"/>
        <w:ind w:left="393" w:right="1" w:hanging="298"/>
        <w:jc w:val="left"/>
        <w:rPr>
          <w:sz w:val="16"/>
        </w:rPr>
      </w:pPr>
      <w:r>
        <w:rPr>
          <w:w w:val="105"/>
          <w:sz w:val="16"/>
        </w:rPr>
        <w:t>Conducted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comprehensive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market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analyses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covering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8+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competitive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landscapes per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engagement,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providing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strategic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intelligence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informed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executive</w:t>
      </w:r>
    </w:p>
    <w:p>
      <w:pPr>
        <w:pStyle w:val="BodyText"/>
        <w:spacing w:before="46"/>
        <w:ind w:left="393"/>
      </w:pPr>
      <w:r>
        <w:rPr>
          <w:w w:val="105"/>
        </w:rPr>
        <w:t>investment</w:t>
      </w:r>
      <w:r>
        <w:rPr>
          <w:spacing w:val="27"/>
          <w:w w:val="105"/>
        </w:rPr>
        <w:t> </w:t>
      </w:r>
      <w:r>
        <w:rPr>
          <w:w w:val="105"/>
        </w:rPr>
        <w:t>decisions</w:t>
      </w:r>
      <w:r>
        <w:rPr>
          <w:spacing w:val="28"/>
          <w:w w:val="105"/>
        </w:rPr>
        <w:t> </w:t>
      </w:r>
      <w:r>
        <w:rPr>
          <w:w w:val="105"/>
        </w:rPr>
        <w:t>totaling</w:t>
      </w:r>
      <w:r>
        <w:rPr>
          <w:spacing w:val="27"/>
          <w:w w:val="105"/>
        </w:rPr>
        <w:t> </w:t>
      </w:r>
      <w:r>
        <w:rPr>
          <w:w w:val="105"/>
        </w:rPr>
        <w:t>$40</w:t>
      </w:r>
      <w:r>
        <w:rPr>
          <w:spacing w:val="28"/>
          <w:w w:val="105"/>
        </w:rPr>
        <w:t> </w:t>
      </w:r>
      <w:r>
        <w:rPr>
          <w:spacing w:val="-2"/>
          <w:w w:val="105"/>
        </w:rPr>
        <w:t>million+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  <w:tab w:pos="393" w:val="left" w:leader="none"/>
        </w:tabs>
        <w:spacing w:line="196" w:lineRule="auto" w:before="107" w:after="0"/>
        <w:ind w:left="393" w:right="183" w:hanging="298"/>
        <w:jc w:val="left"/>
        <w:rPr>
          <w:sz w:val="16"/>
        </w:rPr>
      </w:pPr>
      <w:r>
        <w:rPr>
          <w:w w:val="105"/>
          <w:sz w:val="16"/>
        </w:rPr>
        <w:t>Collaborated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C-suite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board-level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teams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10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organizations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 align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strategies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business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goals,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achieving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90%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adoption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recommended</w:t>
      </w:r>
    </w:p>
    <w:p>
      <w:pPr>
        <w:pStyle w:val="BodyText"/>
        <w:spacing w:before="45"/>
        <w:ind w:left="393"/>
      </w:pPr>
      <w:r>
        <w:rPr>
          <w:w w:val="105"/>
        </w:rPr>
        <w:t>strategic</w:t>
      </w:r>
      <w:r>
        <w:rPr>
          <w:spacing w:val="43"/>
          <w:w w:val="105"/>
        </w:rPr>
        <w:t> </w:t>
      </w:r>
      <w:r>
        <w:rPr>
          <w:spacing w:val="-2"/>
          <w:w w:val="105"/>
        </w:rPr>
        <w:t>initiatives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  <w:tab w:pos="393" w:val="left" w:leader="none"/>
        </w:tabs>
        <w:spacing w:line="208" w:lineRule="auto" w:before="81" w:after="0"/>
        <w:ind w:left="393" w:right="397" w:hanging="298"/>
        <w:jc w:val="left"/>
        <w:rPr>
          <w:sz w:val="16"/>
        </w:rPr>
      </w:pPr>
      <w:r>
        <w:rPr>
          <w:w w:val="105"/>
          <w:sz w:val="16"/>
        </w:rPr>
        <w:t>Led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cross-functional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strategy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teams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4-8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consultants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engagement, managing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project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delivery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from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scoping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executive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presentation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with</w:t>
      </w:r>
    </w:p>
    <w:p>
      <w:pPr>
        <w:pStyle w:val="BodyText"/>
        <w:spacing w:before="45"/>
        <w:ind w:left="393"/>
      </w:pPr>
      <w:r>
        <w:rPr>
          <w:w w:val="105"/>
        </w:rPr>
        <w:t>100%</w:t>
      </w:r>
      <w:r>
        <w:rPr>
          <w:spacing w:val="15"/>
          <w:w w:val="105"/>
        </w:rPr>
        <w:t> </w:t>
      </w:r>
      <w:r>
        <w:rPr>
          <w:w w:val="105"/>
        </w:rPr>
        <w:t>on-time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completion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  <w:tab w:pos="393" w:val="left" w:leader="none"/>
        </w:tabs>
        <w:spacing w:line="196" w:lineRule="auto" w:before="92" w:after="0"/>
        <w:ind w:left="393" w:right="205" w:hanging="298"/>
        <w:jc w:val="left"/>
        <w:rPr>
          <w:sz w:val="16"/>
        </w:rPr>
      </w:pPr>
      <w:r>
        <w:rPr>
          <w:w w:val="105"/>
          <w:sz w:val="16"/>
        </w:rPr>
        <w:t>Developed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financial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models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scenario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analyses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projecting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5-year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revenue and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cost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outcomes,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average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forecast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accuracy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within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8%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actual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results</w:t>
      </w:r>
    </w:p>
    <w:p>
      <w:pPr>
        <w:pStyle w:val="BodyText"/>
        <w:spacing w:before="46"/>
        <w:ind w:left="393"/>
      </w:pPr>
      <w:r>
        <w:rPr>
          <w:w w:val="105"/>
        </w:rPr>
        <w:t>after</w:t>
      </w:r>
      <w:r>
        <w:rPr>
          <w:spacing w:val="10"/>
          <w:w w:val="105"/>
        </w:rPr>
        <w:t> </w:t>
      </w:r>
      <w:r>
        <w:rPr>
          <w:w w:val="105"/>
        </w:rPr>
        <w:t>2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years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  <w:tab w:pos="393" w:val="left" w:leader="none"/>
        </w:tabs>
        <w:spacing w:line="196" w:lineRule="auto" w:before="107" w:after="0"/>
        <w:ind w:left="393" w:right="91" w:hanging="298"/>
        <w:jc w:val="left"/>
        <w:rPr>
          <w:sz w:val="16"/>
        </w:rPr>
      </w:pPr>
      <w:r>
        <w:rPr>
          <w:w w:val="105"/>
          <w:sz w:val="16"/>
        </w:rPr>
        <w:t>Mentored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6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associate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consultants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market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analysis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communication, with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4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earning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promotions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senior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associate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within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18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months</w:t>
      </w:r>
    </w:p>
    <w:p>
      <w:pPr>
        <w:pStyle w:val="ListParagraph"/>
        <w:spacing w:after="0" w:line="196" w:lineRule="auto"/>
        <w:jc w:val="left"/>
        <w:rPr>
          <w:sz w:val="16"/>
        </w:rPr>
        <w:sectPr>
          <w:type w:val="continuous"/>
          <w:pgSz w:w="11920" w:h="16860"/>
          <w:pgMar w:top="980" w:bottom="280" w:left="425" w:right="283"/>
          <w:cols w:num="2" w:equalWidth="0">
            <w:col w:w="3214" w:space="1250"/>
            <w:col w:w="6748"/>
          </w:cols>
        </w:sectPr>
      </w:pPr>
    </w:p>
    <w:p>
      <w:pPr>
        <w:pStyle w:val="ListParagraph"/>
        <w:numPr>
          <w:ilvl w:val="1"/>
          <w:numId w:val="1"/>
        </w:numPr>
        <w:tabs>
          <w:tab w:pos="577" w:val="left" w:leader="none"/>
          <w:tab w:pos="579" w:val="left" w:leader="none"/>
        </w:tabs>
        <w:spacing w:line="216" w:lineRule="auto" w:before="165" w:after="0"/>
        <w:ind w:left="579" w:right="3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Strategic planning and long-term roadmap development</w:t>
      </w:r>
    </w:p>
    <w:p>
      <w:pPr>
        <w:spacing w:before="138"/>
        <w:ind w:left="281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Management</w:t>
      </w:r>
      <w:r>
        <w:rPr>
          <w:spacing w:val="67"/>
          <w:sz w:val="18"/>
        </w:rPr>
        <w:t> </w:t>
      </w:r>
      <w:r>
        <w:rPr>
          <w:spacing w:val="-2"/>
          <w:sz w:val="18"/>
        </w:rPr>
        <w:t>Consultant</w:t>
      </w:r>
    </w:p>
    <w:p>
      <w:pPr>
        <w:spacing w:before="48"/>
        <w:ind w:left="281" w:right="0" w:firstLine="0"/>
        <w:jc w:val="left"/>
        <w:rPr>
          <w:sz w:val="18"/>
        </w:rPr>
      </w:pPr>
      <w:r>
        <w:rPr>
          <w:w w:val="105"/>
          <w:sz w:val="18"/>
        </w:rPr>
        <w:t>Deloitte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Los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Angeles,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CA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June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2009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January</w:t>
      </w:r>
      <w:r>
        <w:rPr>
          <w:spacing w:val="9"/>
          <w:w w:val="105"/>
          <w:sz w:val="18"/>
        </w:rPr>
        <w:t> </w:t>
      </w:r>
      <w:r>
        <w:rPr>
          <w:spacing w:val="-4"/>
          <w:w w:val="105"/>
          <w:sz w:val="18"/>
        </w:rPr>
        <w:t>2014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80" w:bottom="280" w:left="425" w:right="283"/>
          <w:cols w:num="2" w:equalWidth="0">
            <w:col w:w="3035" w:space="1020"/>
            <w:col w:w="7157"/>
          </w:cols>
        </w:sectPr>
      </w:pPr>
    </w:p>
    <w:p>
      <w:pPr>
        <w:pStyle w:val="ListParagraph"/>
        <w:numPr>
          <w:ilvl w:val="1"/>
          <w:numId w:val="1"/>
        </w:numPr>
        <w:tabs>
          <w:tab w:pos="577" w:val="left" w:leader="none"/>
          <w:tab w:pos="579" w:val="left" w:leader="none"/>
        </w:tabs>
        <w:spacing w:line="216" w:lineRule="auto" w:before="93" w:after="0"/>
        <w:ind w:left="579" w:right="3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Market analysis and competitive </w:t>
      </w:r>
      <w:r>
        <w:rPr>
          <w:color w:val="FFFFFF"/>
          <w:spacing w:val="-2"/>
          <w:w w:val="105"/>
          <w:sz w:val="18"/>
        </w:rPr>
        <w:t>intelligence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  <w:tab w:pos="579" w:val="left" w:leader="none"/>
        </w:tabs>
        <w:spacing w:line="216" w:lineRule="auto" w:before="93" w:after="0"/>
        <w:ind w:left="579" w:right="644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Competitive strategy and differentiation positioning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  <w:tab w:pos="579" w:val="left" w:leader="none"/>
        </w:tabs>
        <w:spacing w:line="216" w:lineRule="auto" w:before="93" w:after="0"/>
        <w:ind w:left="579" w:right="804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Financial modeling and scenario planning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  <w:tab w:pos="579" w:val="left" w:leader="none"/>
        </w:tabs>
        <w:spacing w:line="216" w:lineRule="auto" w:before="93" w:after="0"/>
        <w:ind w:left="579" w:right="275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Organizational alignment and change management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  <w:tab w:pos="579" w:val="left" w:leader="none"/>
        </w:tabs>
        <w:spacing w:line="196" w:lineRule="auto" w:before="91" w:after="0"/>
        <w:ind w:left="579" w:right="372" w:hanging="298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Assisted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12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strategic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planning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engagements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improved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average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client operational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efficiency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20%,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generating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$25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million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cumulative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client</w:t>
      </w:r>
    </w:p>
    <w:p>
      <w:pPr>
        <w:pStyle w:val="BodyText"/>
        <w:spacing w:before="46"/>
        <w:ind w:left="579"/>
      </w:pPr>
      <w:r>
        <w:rPr>
          <w:spacing w:val="-2"/>
          <w:w w:val="105"/>
        </w:rPr>
        <w:t>savings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  <w:tab w:pos="579" w:val="left" w:leader="none"/>
        </w:tabs>
        <w:spacing w:line="204" w:lineRule="auto" w:before="91" w:after="0"/>
        <w:ind w:left="579" w:right="356" w:hanging="298"/>
        <w:jc w:val="left"/>
        <w:rPr>
          <w:position w:val="-4"/>
          <w:sz w:val="31"/>
        </w:rPr>
      </w:pPr>
      <w:r>
        <w:rPr>
          <w:w w:val="105"/>
          <w:sz w:val="16"/>
        </w:rPr>
        <w:t>Performed financial modeling and risk assessments for 6 M&amp;A engagements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totaling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$800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million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combined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transaction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value,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supporting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acquisition</w:t>
      </w:r>
    </w:p>
    <w:p>
      <w:pPr>
        <w:pStyle w:val="BodyText"/>
        <w:spacing w:before="45"/>
        <w:ind w:left="579"/>
      </w:pPr>
      <w:r>
        <w:rPr>
          <w:w w:val="105"/>
        </w:rPr>
        <w:t>go/no-go</w:t>
      </w:r>
      <w:r>
        <w:rPr>
          <w:spacing w:val="39"/>
          <w:w w:val="105"/>
        </w:rPr>
        <w:t> </w:t>
      </w:r>
      <w:r>
        <w:rPr>
          <w:spacing w:val="-2"/>
          <w:w w:val="105"/>
        </w:rPr>
        <w:t>decisions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  <w:tab w:pos="579" w:val="left" w:leader="none"/>
        </w:tabs>
        <w:spacing w:line="196" w:lineRule="auto" w:before="92" w:after="0"/>
        <w:ind w:left="579" w:right="408" w:hanging="298"/>
        <w:jc w:val="left"/>
        <w:rPr>
          <w:position w:val="-5"/>
          <w:sz w:val="31"/>
        </w:rPr>
      </w:pPr>
      <w:r>
        <w:rPr>
          <w:w w:val="105"/>
          <w:sz w:val="16"/>
        </w:rPr>
        <w:t>Presented actionable recommendations to senior management at 8 client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organizations,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75%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recommendations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implemented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within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90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days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of</w:t>
      </w:r>
    </w:p>
    <w:p>
      <w:pPr>
        <w:pStyle w:val="BodyText"/>
        <w:spacing w:before="61"/>
        <w:ind w:left="579"/>
      </w:pPr>
      <w:r>
        <w:rPr>
          <w:spacing w:val="-2"/>
          <w:w w:val="105"/>
        </w:rPr>
        <w:t>presentation</w:t>
      </w:r>
    </w:p>
    <w:p>
      <w:pPr>
        <w:pStyle w:val="BodyText"/>
        <w:spacing w:after="0"/>
        <w:sectPr>
          <w:type w:val="continuous"/>
          <w:pgSz w:w="11920" w:h="16860"/>
          <w:pgMar w:top="980" w:bottom="280" w:left="425" w:right="283"/>
          <w:cols w:num="2" w:equalWidth="0">
            <w:col w:w="3376" w:space="902"/>
            <w:col w:w="6934"/>
          </w:cols>
        </w:sectPr>
      </w:pPr>
    </w:p>
    <w:p>
      <w:pPr>
        <w:pStyle w:val="ListParagraph"/>
        <w:numPr>
          <w:ilvl w:val="1"/>
          <w:numId w:val="1"/>
        </w:numPr>
        <w:tabs>
          <w:tab w:pos="577" w:val="left" w:leader="none"/>
          <w:tab w:pos="579" w:val="left" w:leader="none"/>
        </w:tabs>
        <w:spacing w:line="216" w:lineRule="auto" w:before="71" w:after="0"/>
        <w:ind w:left="579" w:right="3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Executive communication and board-level presentations</w:t>
      </w:r>
    </w:p>
    <w:p>
      <w:pPr>
        <w:pStyle w:val="BodyText"/>
        <w:spacing w:before="53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Heading1"/>
        <w:spacing w:before="1"/>
        <w:ind w:left="281"/>
      </w:pPr>
      <w:r>
        <w:rPr>
          <w:color w:val="49443D"/>
        </w:rPr>
        <w:t>C</w:t>
      </w:r>
      <w:r>
        <w:rPr>
          <w:color w:val="49443D"/>
          <w:spacing w:val="-10"/>
        </w:rPr>
        <w:t> </w:t>
      </w:r>
      <w:r>
        <w:rPr>
          <w:color w:val="49443D"/>
        </w:rPr>
        <w:t>E</w:t>
      </w:r>
      <w:r>
        <w:rPr>
          <w:color w:val="49443D"/>
          <w:spacing w:val="-10"/>
        </w:rPr>
        <w:t> </w:t>
      </w:r>
      <w:r>
        <w:rPr>
          <w:color w:val="49443D"/>
        </w:rPr>
        <w:t>R</w:t>
      </w:r>
      <w:r>
        <w:rPr>
          <w:color w:val="49443D"/>
          <w:spacing w:val="-10"/>
        </w:rPr>
        <w:t> </w:t>
      </w:r>
      <w:r>
        <w:rPr>
          <w:color w:val="49443D"/>
        </w:rPr>
        <w:t>T</w:t>
      </w:r>
      <w:r>
        <w:rPr>
          <w:color w:val="49443D"/>
          <w:spacing w:val="-9"/>
        </w:rPr>
        <w:t> </w:t>
      </w:r>
      <w:r>
        <w:rPr>
          <w:color w:val="49443D"/>
        </w:rPr>
        <w:t>I</w:t>
      </w:r>
      <w:r>
        <w:rPr>
          <w:color w:val="49443D"/>
          <w:spacing w:val="-10"/>
        </w:rPr>
        <w:t> </w:t>
      </w:r>
      <w:r>
        <w:rPr>
          <w:color w:val="49443D"/>
        </w:rPr>
        <w:t>F</w:t>
      </w:r>
      <w:r>
        <w:rPr>
          <w:color w:val="49443D"/>
          <w:spacing w:val="-10"/>
        </w:rPr>
        <w:t> </w:t>
      </w:r>
      <w:r>
        <w:rPr>
          <w:color w:val="49443D"/>
        </w:rPr>
        <w:t>I</w:t>
      </w:r>
      <w:r>
        <w:rPr>
          <w:color w:val="49443D"/>
          <w:spacing w:val="-9"/>
        </w:rPr>
        <w:t> </w:t>
      </w:r>
      <w:r>
        <w:rPr>
          <w:color w:val="49443D"/>
        </w:rPr>
        <w:t>C</w:t>
      </w:r>
      <w:r>
        <w:rPr>
          <w:color w:val="49443D"/>
          <w:spacing w:val="-10"/>
        </w:rPr>
        <w:t> </w:t>
      </w:r>
      <w:r>
        <w:rPr>
          <w:color w:val="49443D"/>
        </w:rPr>
        <w:t>A</w:t>
      </w:r>
      <w:r>
        <w:rPr>
          <w:color w:val="49443D"/>
          <w:spacing w:val="-25"/>
        </w:rPr>
        <w:t> </w:t>
      </w:r>
      <w:r>
        <w:rPr>
          <w:color w:val="49443D"/>
        </w:rPr>
        <w:t>T</w:t>
      </w:r>
      <w:r>
        <w:rPr>
          <w:color w:val="49443D"/>
          <w:spacing w:val="-10"/>
        </w:rPr>
        <w:t> </w:t>
      </w:r>
      <w:r>
        <w:rPr>
          <w:color w:val="49443D"/>
        </w:rPr>
        <w:t>I</w:t>
      </w:r>
      <w:r>
        <w:rPr>
          <w:color w:val="49443D"/>
          <w:spacing w:val="-9"/>
        </w:rPr>
        <w:t> </w:t>
      </w:r>
      <w:r>
        <w:rPr>
          <w:color w:val="49443D"/>
        </w:rPr>
        <w:t>O</w:t>
      </w:r>
      <w:r>
        <w:rPr>
          <w:color w:val="49443D"/>
          <w:spacing w:val="-10"/>
        </w:rPr>
        <w:t> </w:t>
      </w:r>
      <w:r>
        <w:rPr>
          <w:color w:val="49443D"/>
        </w:rPr>
        <w:t>N</w:t>
      </w:r>
      <w:r>
        <w:rPr>
          <w:color w:val="49443D"/>
          <w:spacing w:val="-10"/>
        </w:rPr>
        <w:t> S</w:t>
      </w:r>
    </w:p>
    <w:p>
      <w:pPr>
        <w:pStyle w:val="Heading1"/>
        <w:spacing w:after="0"/>
        <w:sectPr>
          <w:type w:val="continuous"/>
          <w:pgSz w:w="11920" w:h="16860"/>
          <w:pgMar w:top="980" w:bottom="280" w:left="425" w:right="283"/>
          <w:cols w:num="2" w:equalWidth="0">
            <w:col w:w="3185" w:space="869"/>
            <w:col w:w="7158"/>
          </w:cols>
        </w:sectPr>
      </w:pPr>
    </w:p>
    <w:p>
      <w:pPr>
        <w:pStyle w:val="ListParagraph"/>
        <w:numPr>
          <w:ilvl w:val="1"/>
          <w:numId w:val="1"/>
        </w:numPr>
        <w:tabs>
          <w:tab w:pos="577" w:val="left" w:leader="none"/>
          <w:tab w:pos="579" w:val="left" w:leader="none"/>
        </w:tabs>
        <w:spacing w:line="216" w:lineRule="auto" w:before="115" w:after="0"/>
        <w:ind w:left="579" w:right="448" w:hanging="298"/>
        <w:jc w:val="left"/>
        <w:rPr>
          <w:color w:val="FFFFFF"/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217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5950" y="1485900"/>
                            <a:ext cx="4762500" cy="9218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0" h="9218930">
                                <a:moveTo>
                                  <a:pt x="0" y="9218675"/>
                                </a:moveTo>
                                <a:lnTo>
                                  <a:pt x="4762233" y="9218675"/>
                                </a:lnTo>
                                <a:lnTo>
                                  <a:pt x="47622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86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606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6065" h="9295130">
                                <a:moveTo>
                                  <a:pt x="0" y="9294875"/>
                                </a:moveTo>
                                <a:lnTo>
                                  <a:pt x="2805950" y="9294875"/>
                                </a:lnTo>
                                <a:lnTo>
                                  <a:pt x="28059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85750"/>
                            <a:ext cx="2238374" cy="22383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47674" y="31432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19449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47674" y="352424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568" y="3600450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47674" y="38957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43" y="397192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809874" y="0"/>
                            <a:ext cx="4758690" cy="1485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1485900">
                                <a:moveTo>
                                  <a:pt x="4758308" y="1485899"/>
                                </a:moveTo>
                                <a:lnTo>
                                  <a:pt x="0" y="148589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1485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19424" y="1457324"/>
                            <a:ext cx="42481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8150" h="28575">
                                <a:moveTo>
                                  <a:pt x="42481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48149" y="0"/>
                                </a:lnTo>
                                <a:lnTo>
                                  <a:pt x="42481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62782" y="265518"/>
                            <a:ext cx="2290445" cy="2290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90445" h="2290445">
                                <a:moveTo>
                                  <a:pt x="1144982" y="0"/>
                                </a:moveTo>
                                <a:lnTo>
                                  <a:pt x="2289965" y="1144982"/>
                                </a:lnTo>
                                <a:lnTo>
                                  <a:pt x="1144982" y="2289965"/>
                                </a:lnTo>
                                <a:lnTo>
                                  <a:pt x="0" y="1144982"/>
                                </a:lnTo>
                                <a:lnTo>
                                  <a:pt x="1144982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5F5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pt;margin-top:.000005pt;width:595.950pt;height:842.9pt;mso-position-horizontal-relative:page;mso-position-vertical-relative:page;z-index:-15794688" id="docshapegroup1" coordorigin="0,0" coordsize="11919,16858">
                <v:rect style="position:absolute;left:4418;top:2340;width:7500;height:14518" id="docshape2" filled="true" fillcolor="#f5f5f5" stroked="false">
                  <v:fill type="solid"/>
                </v:rect>
                <v:rect style="position:absolute;left:0;top:2220;width:4419;height:14638" id="docshape3" filled="true" fillcolor="#49443d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50;top:450;width:3525;height:3525" type="#_x0000_t75" id="docshape5" stroked="false">
                  <v:imagedata r:id="rId6" o:title=""/>
                </v:shape>
                <v:shape style="position:absolute;left:705;top:4950;width:525;height:525" id="docshape6" coordorigin="705,4950" coordsize="525,525" path="m965,5475l902,5467,843,5444,791,5408,749,5359,720,5302,706,5240,705,5215,705,5198,716,5135,742,5077,781,5026,832,4987,890,4961,953,4950,970,4950,982,4950,1045,4961,1103,4987,1154,5026,1193,5077,1219,5135,1230,5198,1230,5215,1230,5227,1219,5290,1193,5348,1154,5399,1103,5438,1045,5464,982,5475,965,5475xe" filled="true" fillcolor="#e78f37" stroked="false">
                  <v:path arrowok="t"/>
                  <v:fill type="solid"/>
                </v:shape>
                <v:shape style="position:absolute;left:825;top:5070;width:279;height:279" type="#_x0000_t75" id="docshape7" stroked="false">
                  <v:imagedata r:id="rId7" o:title=""/>
                </v:shape>
                <v:shape style="position:absolute;left:705;top:5550;width:525;height:510" id="docshape8" coordorigin="705,5550" coordsize="525,510" path="m975,6060l960,6060,947,6060,886,6049,829,6024,780,5985,741,5936,716,5879,705,5818,705,5805,705,5792,716,5731,741,5674,780,5625,829,5586,886,5561,947,5550,960,5550,975,5550,1037,5558,1095,5580,1146,5616,1187,5663,1215,5719,1229,5780,1230,5805,1230,5818,1219,5879,1194,5936,1155,5985,1106,6024,1049,6049,988,6060,975,6060xe" filled="true" fillcolor="#e78f37" stroked="false">
                  <v:path arrowok="t"/>
                  <v:fill type="solid"/>
                </v:shape>
                <v:shape style="position:absolute;left:843;top:5670;width:243;height:270" type="#_x0000_t75" id="docshape9" stroked="false">
                  <v:imagedata r:id="rId8" o:title=""/>
                </v:shape>
                <v:shape style="position:absolute;left:705;top:6135;width:525;height:525" id="docshape10" coordorigin="705,6135" coordsize="525,525" path="m965,6660l902,6652,843,6629,791,6593,749,6544,720,6487,706,6425,705,6400,705,6383,716,6320,742,6262,781,6211,832,6172,890,6146,953,6135,970,6135,982,6135,1045,6146,1103,6172,1154,6211,1193,6262,1219,6320,1230,6383,1230,6400,1230,6412,1219,6475,1193,6533,1154,6584,1103,6623,1045,6649,982,6660,965,6660xe" filled="true" fillcolor="#e78f37" stroked="false">
                  <v:path arrowok="t"/>
                  <v:fill type="solid"/>
                </v:shape>
                <v:shape style="position:absolute;left:825;top:6255;width:278;height:279" type="#_x0000_t75" id="docshape11" stroked="false">
                  <v:imagedata r:id="rId9" o:title=""/>
                </v:shape>
                <v:rect style="position:absolute;left:4425;top:0;width:7494;height:2340" id="docshape12" filled="true" fillcolor="#ffffff" stroked="false">
                  <v:fill type="solid"/>
                </v:rect>
                <v:rect style="position:absolute;left:4755;top:2295;width:6690;height:45" id="docshape13" filled="true" fillcolor="#e78f37" stroked="false">
                  <v:fill type="solid"/>
                </v:rect>
                <v:shape style="position:absolute;left:413;top:418;width:3607;height:3607" id="docshape14" coordorigin="414,418" coordsize="3607,3607" path="m2217,418l4020,2221,2217,4024,414,2221,2217,418xe" filled="false" stroked="true" strokeweight="3.0pt" strokecolor="#f5f5f5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  <w:sz w:val="18"/>
        </w:rPr>
        <w:t>M&amp;A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w w:val="105"/>
          <w:sz w:val="18"/>
        </w:rPr>
        <w:t>due diligence and integration planning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  <w:tab w:pos="579" w:val="left" w:leader="none"/>
        </w:tabs>
        <w:spacing w:line="201" w:lineRule="auto" w:before="107" w:after="0"/>
        <w:ind w:left="579" w:right="3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Growth strategy and market entry analysis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</w:tabs>
        <w:spacing w:line="352" w:lineRule="exact" w:before="0" w:after="0"/>
        <w:ind w:left="577" w:right="0" w:hanging="296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Certified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Management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Consultant</w:t>
      </w:r>
      <w:r>
        <w:rPr>
          <w:spacing w:val="32"/>
          <w:w w:val="105"/>
          <w:sz w:val="16"/>
        </w:rPr>
        <w:t> </w:t>
      </w:r>
      <w:r>
        <w:rPr>
          <w:spacing w:val="-2"/>
          <w:w w:val="105"/>
          <w:sz w:val="16"/>
        </w:rPr>
        <w:t>(CMC)</w:t>
      </w:r>
    </w:p>
    <w:p>
      <w:pPr>
        <w:pStyle w:val="ListParagraph"/>
        <w:spacing w:after="0" w:line="352" w:lineRule="exact"/>
        <w:jc w:val="left"/>
        <w:rPr>
          <w:position w:val="-5"/>
          <w:sz w:val="31"/>
        </w:rPr>
        <w:sectPr>
          <w:type w:val="continuous"/>
          <w:pgSz w:w="11920" w:h="16860"/>
          <w:pgMar w:top="980" w:bottom="280" w:left="425" w:right="283"/>
          <w:cols w:num="2" w:equalWidth="0">
            <w:col w:w="3006" w:space="1049"/>
            <w:col w:w="7157"/>
          </w:cols>
        </w:sectPr>
      </w:pPr>
    </w:p>
    <w:p>
      <w:pPr>
        <w:pStyle w:val="ListParagraph"/>
        <w:numPr>
          <w:ilvl w:val="1"/>
          <w:numId w:val="1"/>
        </w:numPr>
        <w:tabs>
          <w:tab w:pos="577" w:val="left" w:leader="none"/>
          <w:tab w:pos="579" w:val="left" w:leader="none"/>
        </w:tabs>
        <w:spacing w:line="216" w:lineRule="auto" w:before="100" w:after="0"/>
        <w:ind w:left="579" w:right="8173" w:hanging="298"/>
        <w:jc w:val="left"/>
        <w:rPr>
          <w:color w:val="FFFFFF"/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223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2805950" y="0"/>
                            <a:ext cx="476250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0" h="10704830">
                                <a:moveTo>
                                  <a:pt x="0" y="10704575"/>
                                </a:moveTo>
                                <a:lnTo>
                                  <a:pt x="4762233" y="10704575"/>
                                </a:lnTo>
                                <a:lnTo>
                                  <a:pt x="47622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2806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6065" h="10704830">
                                <a:moveTo>
                                  <a:pt x="0" y="0"/>
                                </a:moveTo>
                                <a:lnTo>
                                  <a:pt x="2805950" y="0"/>
                                </a:lnTo>
                                <a:lnTo>
                                  <a:pt x="2805950" y="10704575"/>
                                </a:lnTo>
                                <a:lnTo>
                                  <a:pt x="0" y="107045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809874" y="323849"/>
                            <a:ext cx="4758690" cy="742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742950">
                                <a:moveTo>
                                  <a:pt x="4758308" y="742949"/>
                                </a:moveTo>
                                <a:lnTo>
                                  <a:pt x="0" y="74294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742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pt;margin-top:-.000004pt;width:595.950pt;height:842.9pt;mso-position-horizontal-relative:page;mso-position-vertical-relative:page;z-index:-15794176" id="docshapegroup15" coordorigin="0,0" coordsize="11919,16858">
                <v:rect style="position:absolute;left:4418;top:0;width:7500;height:16858" id="docshape16" filled="true" fillcolor="#f5f5f5" stroked="false">
                  <v:fill type="solid"/>
                </v:rect>
                <v:rect style="position:absolute;left:0;top:0;width:4419;height:16858" id="docshape17" filled="true" fillcolor="#49443d" stroked="false">
                  <v:fill type="solid"/>
                </v:rect>
                <v:rect style="position:absolute;left:4425;top:510;width:7494;height:1170" id="docshape18" filled="true" fillcolor="#f5f5f5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FFFFFF"/>
          <w:w w:val="105"/>
          <w:sz w:val="18"/>
        </w:rPr>
        <w:t>Cross-functional stakeholder </w:t>
      </w:r>
      <w:r>
        <w:rPr>
          <w:color w:val="FFFFFF"/>
          <w:spacing w:val="-2"/>
          <w:w w:val="105"/>
          <w:sz w:val="18"/>
        </w:rPr>
        <w:t>management</w:t>
      </w:r>
    </w:p>
    <w:sectPr>
      <w:pgSz w:w="11920" w:h="16860"/>
      <w:pgMar w:top="34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9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5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9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31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53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76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98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3"/>
      <w:ind w:left="579" w:right="3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2026-03-23T14:49:13Z</dcterms:created>
  <dcterms:modified xsi:type="dcterms:W3CDTF">2026-03-23T14:49:13Z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2026-03-23T00:00:00Z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2026-03-23T00:00:00Z</vt:filetime>
  </property>
  <property fmtid="{D5CDD505-2E9C-101B-9397-08002B2CF9AE}" pid="5" name="Producer">
    <vt:lpwstr>pdf-merger-js</vt:lpwstr>
  </property>
</Properties>
</file>