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098" w:right="1" w:firstLine="0"/>
        <w:jc w:val="center"/>
        <w:rPr>
          <w:sz w:val="78"/>
        </w:rPr>
      </w:pPr>
      <w:r>
        <w:rPr>
          <w:b/>
          <w:color w:val="731B46"/>
          <w:sz w:val="78"/>
        </w:rPr>
        <w:t>Morgan</w:t>
      </w:r>
      <w:r>
        <w:rPr>
          <w:b/>
          <w:color w:val="731B46"/>
          <w:spacing w:val="-7"/>
          <w:sz w:val="78"/>
        </w:rPr>
        <w:t> </w:t>
      </w:r>
      <w:r>
        <w:rPr>
          <w:color w:val="731B46"/>
          <w:spacing w:val="-2"/>
          <w:sz w:val="78"/>
        </w:rPr>
        <w:t>Johnson</w:t>
      </w:r>
    </w:p>
    <w:p>
      <w:pPr>
        <w:spacing w:before="86"/>
        <w:ind w:left="4098" w:right="0" w:firstLine="0"/>
        <w:jc w:val="center"/>
        <w:rPr>
          <w:sz w:val="26"/>
        </w:rPr>
      </w:pPr>
      <w:r>
        <w:rPr>
          <w:color w:val="731B46"/>
          <w:sz w:val="26"/>
        </w:rPr>
        <w:t>Global</w:t>
      </w:r>
      <w:r>
        <w:rPr>
          <w:color w:val="731B46"/>
          <w:spacing w:val="-15"/>
          <w:sz w:val="26"/>
        </w:rPr>
        <w:t> </w:t>
      </w:r>
      <w:r>
        <w:rPr>
          <w:color w:val="731B46"/>
          <w:sz w:val="26"/>
        </w:rPr>
        <w:t>Accounts Receivable </w:t>
      </w:r>
      <w:r>
        <w:rPr>
          <w:color w:val="731B46"/>
          <w:spacing w:val="-2"/>
          <w:sz w:val="26"/>
        </w:rPr>
        <w:t>Specialist</w: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6353174"/>
                            <a:ext cx="4762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43175">
                                <a:moveTo>
                                  <a:pt x="47625" y="2516009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09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09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6288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648074"/>
                            <a:ext cx="29527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543550">
                                <a:moveTo>
                                  <a:pt x="47625" y="5516384"/>
                                </a:moveTo>
                                <a:lnTo>
                                  <a:pt x="27165" y="5495925"/>
                                </a:lnTo>
                                <a:lnTo>
                                  <a:pt x="20472" y="5495925"/>
                                </a:lnTo>
                                <a:lnTo>
                                  <a:pt x="0" y="5516384"/>
                                </a:lnTo>
                                <a:lnTo>
                                  <a:pt x="0" y="5519966"/>
                                </a:lnTo>
                                <a:lnTo>
                                  <a:pt x="0" y="5523090"/>
                                </a:lnTo>
                                <a:lnTo>
                                  <a:pt x="20472" y="5543550"/>
                                </a:lnTo>
                                <a:lnTo>
                                  <a:pt x="27165" y="5543550"/>
                                </a:lnTo>
                                <a:lnTo>
                                  <a:pt x="47625" y="5523090"/>
                                </a:lnTo>
                                <a:lnTo>
                                  <a:pt x="47625" y="5516384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4763909"/>
                                </a:moveTo>
                                <a:lnTo>
                                  <a:pt x="274815" y="4743450"/>
                                </a:lnTo>
                                <a:lnTo>
                                  <a:pt x="268122" y="4743450"/>
                                </a:lnTo>
                                <a:lnTo>
                                  <a:pt x="247650" y="4763909"/>
                                </a:lnTo>
                                <a:lnTo>
                                  <a:pt x="247650" y="4767491"/>
                                </a:lnTo>
                                <a:lnTo>
                                  <a:pt x="247650" y="4770615"/>
                                </a:lnTo>
                                <a:lnTo>
                                  <a:pt x="268122" y="4791075"/>
                                </a:lnTo>
                                <a:lnTo>
                                  <a:pt x="274815" y="4791075"/>
                                </a:lnTo>
                                <a:lnTo>
                                  <a:pt x="295275" y="4770615"/>
                                </a:lnTo>
                                <a:lnTo>
                                  <a:pt x="295275" y="4763909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4411497"/>
                                </a:moveTo>
                                <a:lnTo>
                                  <a:pt x="274815" y="4391025"/>
                                </a:lnTo>
                                <a:lnTo>
                                  <a:pt x="268122" y="4391025"/>
                                </a:lnTo>
                                <a:lnTo>
                                  <a:pt x="247650" y="4411497"/>
                                </a:lnTo>
                                <a:lnTo>
                                  <a:pt x="247650" y="4415066"/>
                                </a:lnTo>
                                <a:lnTo>
                                  <a:pt x="247650" y="4418190"/>
                                </a:lnTo>
                                <a:lnTo>
                                  <a:pt x="268122" y="4438650"/>
                                </a:lnTo>
                                <a:lnTo>
                                  <a:pt x="274815" y="4438650"/>
                                </a:lnTo>
                                <a:lnTo>
                                  <a:pt x="295275" y="4418190"/>
                                </a:lnTo>
                                <a:lnTo>
                                  <a:pt x="295275" y="4411497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3906672"/>
                                </a:moveTo>
                                <a:lnTo>
                                  <a:pt x="274815" y="3886200"/>
                                </a:lnTo>
                                <a:lnTo>
                                  <a:pt x="268122" y="3886200"/>
                                </a:lnTo>
                                <a:lnTo>
                                  <a:pt x="247650" y="3906672"/>
                                </a:lnTo>
                                <a:lnTo>
                                  <a:pt x="247650" y="3910241"/>
                                </a:lnTo>
                                <a:lnTo>
                                  <a:pt x="247650" y="3913365"/>
                                </a:lnTo>
                                <a:lnTo>
                                  <a:pt x="268122" y="3933825"/>
                                </a:lnTo>
                                <a:lnTo>
                                  <a:pt x="274815" y="3933825"/>
                                </a:lnTo>
                                <a:lnTo>
                                  <a:pt x="295275" y="3913365"/>
                                </a:lnTo>
                                <a:lnTo>
                                  <a:pt x="295275" y="3906672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3544722"/>
                                </a:moveTo>
                                <a:lnTo>
                                  <a:pt x="274815" y="3524250"/>
                                </a:lnTo>
                                <a:lnTo>
                                  <a:pt x="268122" y="3524250"/>
                                </a:lnTo>
                                <a:lnTo>
                                  <a:pt x="247650" y="3544722"/>
                                </a:lnTo>
                                <a:lnTo>
                                  <a:pt x="247650" y="3548291"/>
                                </a:lnTo>
                                <a:lnTo>
                                  <a:pt x="247650" y="3551415"/>
                                </a:lnTo>
                                <a:lnTo>
                                  <a:pt x="268122" y="3571875"/>
                                </a:lnTo>
                                <a:lnTo>
                                  <a:pt x="274815" y="3571875"/>
                                </a:lnTo>
                                <a:lnTo>
                                  <a:pt x="295275" y="3551415"/>
                                </a:lnTo>
                                <a:lnTo>
                                  <a:pt x="295275" y="3544722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2544597"/>
                                </a:moveTo>
                                <a:lnTo>
                                  <a:pt x="274815" y="2524125"/>
                                </a:lnTo>
                                <a:lnTo>
                                  <a:pt x="268122" y="2524125"/>
                                </a:lnTo>
                                <a:lnTo>
                                  <a:pt x="247650" y="2544597"/>
                                </a:lnTo>
                                <a:lnTo>
                                  <a:pt x="247650" y="2548166"/>
                                </a:lnTo>
                                <a:lnTo>
                                  <a:pt x="247650" y="2551290"/>
                                </a:lnTo>
                                <a:lnTo>
                                  <a:pt x="268122" y="2571750"/>
                                </a:lnTo>
                                <a:lnTo>
                                  <a:pt x="274815" y="2571750"/>
                                </a:lnTo>
                                <a:lnTo>
                                  <a:pt x="295275" y="2551290"/>
                                </a:lnTo>
                                <a:lnTo>
                                  <a:pt x="295275" y="2544597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2039772"/>
                                </a:moveTo>
                                <a:lnTo>
                                  <a:pt x="274815" y="2019300"/>
                                </a:lnTo>
                                <a:lnTo>
                                  <a:pt x="268122" y="2019300"/>
                                </a:lnTo>
                                <a:lnTo>
                                  <a:pt x="247650" y="2039772"/>
                                </a:lnTo>
                                <a:lnTo>
                                  <a:pt x="247650" y="2043341"/>
                                </a:lnTo>
                                <a:lnTo>
                                  <a:pt x="247650" y="2046465"/>
                                </a:lnTo>
                                <a:lnTo>
                                  <a:pt x="268122" y="2066925"/>
                                </a:lnTo>
                                <a:lnTo>
                                  <a:pt x="274815" y="2066925"/>
                                </a:lnTo>
                                <a:lnTo>
                                  <a:pt x="295275" y="2046465"/>
                                </a:lnTo>
                                <a:lnTo>
                                  <a:pt x="295275" y="2039772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1534947"/>
                                </a:moveTo>
                                <a:lnTo>
                                  <a:pt x="274815" y="1514475"/>
                                </a:lnTo>
                                <a:lnTo>
                                  <a:pt x="268122" y="1514475"/>
                                </a:lnTo>
                                <a:lnTo>
                                  <a:pt x="247650" y="1534947"/>
                                </a:lnTo>
                                <a:lnTo>
                                  <a:pt x="247650" y="1538516"/>
                                </a:lnTo>
                                <a:lnTo>
                                  <a:pt x="247650" y="154164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74815" y="1562100"/>
                                </a:lnTo>
                                <a:lnTo>
                                  <a:pt x="295275" y="1541640"/>
                                </a:lnTo>
                                <a:lnTo>
                                  <a:pt x="295275" y="1534947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1030122"/>
                                </a:moveTo>
                                <a:lnTo>
                                  <a:pt x="274815" y="1009650"/>
                                </a:lnTo>
                                <a:lnTo>
                                  <a:pt x="268122" y="1009650"/>
                                </a:lnTo>
                                <a:lnTo>
                                  <a:pt x="247650" y="1030122"/>
                                </a:lnTo>
                                <a:lnTo>
                                  <a:pt x="247650" y="1033691"/>
                                </a:lnTo>
                                <a:lnTo>
                                  <a:pt x="247650" y="1036815"/>
                                </a:lnTo>
                                <a:lnTo>
                                  <a:pt x="268122" y="1057275"/>
                                </a:lnTo>
                                <a:lnTo>
                                  <a:pt x="274815" y="1057275"/>
                                </a:lnTo>
                                <a:lnTo>
                                  <a:pt x="295275" y="1036815"/>
                                </a:lnTo>
                                <a:lnTo>
                                  <a:pt x="295275" y="1030122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525297"/>
                                </a:moveTo>
                                <a:lnTo>
                                  <a:pt x="274815" y="504825"/>
                                </a:lnTo>
                                <a:lnTo>
                                  <a:pt x="268122" y="504825"/>
                                </a:lnTo>
                                <a:lnTo>
                                  <a:pt x="247650" y="525297"/>
                                </a:lnTo>
                                <a:lnTo>
                                  <a:pt x="247650" y="528866"/>
                                </a:lnTo>
                                <a:lnTo>
                                  <a:pt x="247650" y="531990"/>
                                </a:lnTo>
                                <a:lnTo>
                                  <a:pt x="268122" y="552450"/>
                                </a:lnTo>
                                <a:lnTo>
                                  <a:pt x="274815" y="552450"/>
                                </a:lnTo>
                                <a:lnTo>
                                  <a:pt x="295275" y="531990"/>
                                </a:lnTo>
                                <a:lnTo>
                                  <a:pt x="295275" y="525297"/>
                                </a:lnTo>
                                <a:close/>
                              </a:path>
                              <a:path w="295275" h="55435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8086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31b4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6;top:5580;width:315;height:317" type="#_x0000_t75" id="docshape8" stroked="false">
                  <v:imagedata r:id="rId9" o:title=""/>
                </v:shape>
                <v:shape style="position:absolute;left:524;top:10005;width:75;height:4005" id="docshape9" coordorigin="525,10005" coordsize="75,4005" path="m600,13967l599,13962,595,13953,593,13949,586,13942,582,13940,573,13936,568,13935,557,13935,552,13936,543,13940,539,13942,532,13949,530,13953,526,13962,525,13967,525,13973,525,13978,526,13983,530,13992,532,13996,539,14003,543,14005,552,14009,557,14010,568,14010,573,14009,582,14005,586,14003,593,13996,595,13992,599,13983,600,13978,600,13967xm600,13412l599,13407,595,13398,593,13394,586,13387,582,13385,573,13381,568,13380,557,13380,552,13381,543,13385,539,13387,532,13394,530,13398,526,13407,525,13412,525,13418,525,13423,526,13428,530,13437,532,13441,539,13448,543,13450,552,13454,557,13455,568,13455,573,13454,582,13450,586,13448,593,13441,595,13437,599,13428,600,13423,600,13412xm600,12842l599,12837,595,12828,593,12824,586,12817,582,12815,573,12811,568,12810,557,12810,552,12811,543,12815,539,12817,532,12824,530,12828,526,12837,525,12842,525,12848,525,12853,526,12858,530,12867,532,12871,539,12878,543,12880,552,12884,557,12885,568,12885,573,12884,582,12880,586,12878,593,12871,595,12867,599,12858,600,12853,600,12842xm600,12287l599,12282,595,12273,593,12269,586,12262,582,12260,573,12256,568,12255,557,12255,552,12256,543,12260,539,12262,532,12269,530,12273,526,12282,525,12287,525,12293,525,12298,526,12303,530,12312,532,12316,539,12323,543,12325,552,12329,557,12330,568,12330,573,12329,582,12325,586,12323,593,12316,595,12312,599,12303,600,12298,600,12287xm600,11717l599,11712,595,11703,593,11699,586,11692,582,11690,573,11686,568,11685,557,11685,552,11686,543,11690,539,11692,532,11699,530,11703,526,11712,525,11717,525,11723,525,11728,526,11733,530,11742,532,11746,539,11753,543,11755,552,11759,557,11760,568,11760,573,11759,582,11755,586,11753,593,11746,595,11742,599,11733,600,11728,600,11717xm600,11162l599,11157,595,11148,593,11144,586,11137,582,11135,573,11131,568,11130,557,11130,552,11131,543,11135,539,11137,532,11144,530,11148,526,11157,525,11162,525,11168,525,11173,526,11178,530,11187,532,11191,539,11198,543,11200,552,11204,557,11205,568,11205,573,11204,582,11200,586,11198,593,11191,595,11187,599,11178,600,11173,600,11162xm600,10607l599,10602,595,10593,593,10589,586,10582,582,10580,573,10576,568,10575,557,10575,552,10576,543,10580,539,10582,532,10589,530,10593,526,10602,525,10607,525,10613,525,10618,526,10623,530,10632,532,10636,539,10643,543,10645,552,10649,557,10650,568,10650,573,10649,582,10645,586,10643,593,10636,595,10632,599,10623,600,10618,600,10607xm600,10037l599,10032,595,10023,593,10019,586,10012,582,10010,573,10006,568,10005,557,10005,552,10006,543,10010,539,10012,532,10019,530,10023,526,10032,525,10037,525,10043,525,10048,526,10053,530,10062,532,10066,539,10073,543,10075,552,10079,557,10080,568,10080,573,10079,582,10075,586,10073,593,10066,595,10062,599,10053,600,10048,600,10037xe" filled="true" fillcolor="#000000" stroked="false">
                  <v:path arrowok="t"/>
                  <v:fill type="solid"/>
                </v:shape>
                <v:rect style="position:absolute;left:4095;top:4140;width:7425;height:15" id="docshape10" filled="true" fillcolor="#731b46" stroked="false">
                  <v:fill type="solid"/>
                </v:rect>
                <v:shape style="position:absolute;left:4574;top:5745;width:465;height:8730" id="docshape11" coordorigin="4575,5745" coordsize="465,8730" path="m4650,14432l4649,14427,4645,14418,4643,14414,4636,14407,4632,14405,4623,14401,4618,14400,4607,14400,4602,14401,4593,14405,4589,14407,4582,14414,4580,14418,4576,14427,4575,14432,4575,14438,4575,14443,4576,14448,4580,14457,4582,14461,4589,14468,4593,14470,4602,14474,4607,14475,4618,14475,4623,14474,4632,14470,4636,14468,4643,14461,4645,14457,4649,14448,4650,14443,4650,14432xm5040,13247l5039,13242,5035,13233,5033,13229,5026,13222,5022,13220,5013,13216,5008,13215,4997,13215,4992,13216,4983,13220,4979,13222,4972,13229,4970,13233,4966,13242,4965,13247,4965,13253,4965,13258,4966,13263,4970,13272,4972,13276,4979,13283,4983,13285,4992,13289,4997,13290,5008,13290,5013,13289,5022,13285,5026,13283,5033,13276,5035,13272,5039,13263,5040,13258,5040,13247xm5040,12692l5039,12687,5035,12678,5033,12674,5026,12667,5022,12665,5013,12661,5008,12660,4997,12660,4992,12661,4983,12665,4979,12667,4972,12674,4970,12678,4966,12687,4965,12692,4965,12698,4965,12703,4966,12708,4970,12717,4972,12721,4979,12728,4983,12730,4992,12734,4997,12735,5008,12735,5013,12734,5022,12730,5026,12728,5033,12721,5035,12717,5039,12708,5040,12703,5040,12692xm5040,11897l5039,11892,5035,11883,5033,11879,5026,11872,5022,11870,5013,11866,5008,11865,4997,11865,4992,11866,4983,11870,4979,11872,4972,11879,4970,11883,4966,11892,4965,11897,4965,11903,4965,11908,4966,11913,4970,11922,4972,11926,4979,11933,4983,11935,4992,11939,4997,11940,5008,11940,5013,11939,5022,11935,5026,11933,5033,11926,5035,11922,5039,11913,5040,11908,5040,11897xm5040,11327l5039,11322,5035,11313,5033,11309,5026,11302,5022,11300,5013,11296,5008,11295,4997,11295,4992,11296,4983,11300,4979,11302,4972,11309,4970,11313,4966,11322,4965,11327,4965,11333,4965,11338,4966,11343,4970,11352,4972,11356,4979,11363,4983,11365,4992,11369,4997,11370,5008,11370,5013,11369,5022,11365,5026,11363,5033,11356,5035,11352,5039,11343,5040,11338,5040,11327xm5040,9752l5039,9747,5035,9738,5033,9734,5026,9727,5022,9725,5013,9721,5008,9720,4997,9720,4992,9721,4983,9725,4979,9727,4972,9734,4970,9738,4966,9747,4965,9752,4965,9758,4965,9763,4966,9768,4970,9777,4972,9781,4979,9788,4983,9790,4992,9794,4997,9795,5008,9795,5013,9794,5022,9790,5026,9788,5033,9781,5035,9777,5039,9768,5040,9763,5040,9752x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572l5039,6567,5035,6558,5033,6554,5026,6547,5022,6545,5013,6541,5008,6540,4997,6540,4992,6541,4983,6545,4979,6547,4972,6554,4970,6558,4966,6567,4965,6572,4965,6578,4965,6583,4966,6588,4970,6597,4972,6601,4979,6608,4983,6610,4992,6614,4997,6615,5008,6615,5013,6614,5022,6610,5026,6608,5033,6601,5035,6597,5039,6588,5040,6583,5040,6572xm5040,5777l5039,5772,5035,5763,5033,5759,5026,5752,5022,5750,5013,5746,5008,5745,4997,5745,4992,5746,4983,5750,4979,5752,4972,5759,4970,5763,4966,5772,4965,5777,4965,5783,4965,5788,4966,5793,4970,5802,4972,5806,4979,5813,4983,5815,4992,5819,4997,5820,5008,5820,5013,5819,5022,5815,5026,5813,5033,5806,5035,5802,5039,5793,5040,5788,504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3"/>
        <w:rPr>
          <w:sz w:val="20"/>
        </w:rPr>
      </w:pPr>
    </w:p>
    <w:p>
      <w:pPr>
        <w:pStyle w:val="Heading1"/>
      </w:pPr>
      <w:r>
        <w:rPr>
          <w:smallCaps/>
          <w:color w:val="731B46"/>
          <w:w w:val="105"/>
        </w:rPr>
        <w:t>Contact</w:t>
      </w:r>
      <w:r>
        <w:rPr>
          <w:smallCaps/>
          <w:color w:val="731B46"/>
          <w:spacing w:val="-14"/>
          <w:w w:val="105"/>
        </w:rPr>
        <w:t> </w:t>
      </w:r>
      <w:r>
        <w:rPr>
          <w:smallCaps/>
          <w:color w:val="731B46"/>
          <w:spacing w:val="-2"/>
          <w:w w:val="105"/>
        </w:rPr>
        <w:t>Information</w:t>
      </w:r>
    </w:p>
    <w:p>
      <w:pPr>
        <w:pStyle w:val="BodyText"/>
        <w:spacing w:before="101"/>
        <w:rPr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429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Los Angeles, CA</w:t>
      </w:r>
    </w:p>
    <w:p>
      <w:pPr>
        <w:pStyle w:val="BodyText"/>
        <w:spacing w:before="168"/>
        <w:rPr>
          <w:sz w:val="20"/>
        </w:rPr>
      </w:pPr>
    </w:p>
    <w:p>
      <w:pPr>
        <w:pStyle w:val="Heading1"/>
      </w:pPr>
      <w:r>
        <w:rPr>
          <w:smallCaps/>
          <w:color w:val="731B46"/>
          <w:spacing w:val="-2"/>
          <w:w w:val="105"/>
        </w:rPr>
        <w:t>Education</w:t>
      </w:r>
    </w:p>
    <w:p>
      <w:pPr>
        <w:pStyle w:val="BodyText"/>
        <w:spacing w:before="75"/>
        <w:rPr>
          <w:b/>
          <w:sz w:val="20"/>
        </w:rPr>
      </w:pPr>
    </w:p>
    <w:p>
      <w:pPr>
        <w:pStyle w:val="BodyText"/>
        <w:spacing w:line="268" w:lineRule="auto"/>
        <w:ind w:left="380"/>
      </w:pPr>
      <w:r>
        <w:rPr>
          <w:spacing w:val="-2"/>
          <w:w w:val="105"/>
        </w:rPr>
        <w:t>Bachelor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Accounting </w:t>
      </w:r>
      <w:r>
        <w:rPr>
          <w:w w:val="105"/>
        </w:rPr>
        <w:t>California State University, Los Angeles, CA June 2010</w:t>
      </w:r>
    </w:p>
    <w:p>
      <w:pPr>
        <w:pStyle w:val="BodyText"/>
        <w:spacing w:before="57"/>
      </w:pPr>
    </w:p>
    <w:p>
      <w:pPr>
        <w:pStyle w:val="BodyText"/>
        <w:spacing w:line="278" w:lineRule="auto" w:before="1"/>
        <w:ind w:left="380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International Business</w:t>
      </w:r>
    </w:p>
    <w:p>
      <w:pPr>
        <w:pStyle w:val="BodyText"/>
        <w:spacing w:line="192" w:lineRule="exact"/>
        <w:ind w:left="380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Southern</w:t>
      </w:r>
      <w:r>
        <w:rPr>
          <w:spacing w:val="13"/>
        </w:rPr>
        <w:t> </w:t>
      </w:r>
      <w:r>
        <w:rPr/>
        <w:t>California,</w:t>
      </w:r>
      <w:r>
        <w:rPr>
          <w:spacing w:val="13"/>
        </w:rPr>
        <w:t> </w:t>
      </w:r>
      <w:r>
        <w:rPr>
          <w:spacing w:val="-5"/>
        </w:rPr>
        <w:t>Los</w:t>
      </w:r>
    </w:p>
    <w:p>
      <w:pPr>
        <w:pStyle w:val="BodyText"/>
        <w:spacing w:before="33"/>
        <w:ind w:left="380"/>
      </w:pPr>
      <w:r>
        <w:rPr/>
        <w:t>Angeles,</w:t>
      </w:r>
      <w:r>
        <w:rPr>
          <w:spacing w:val="11"/>
        </w:rPr>
        <w:t> </w:t>
      </w:r>
      <w:r>
        <w:rPr/>
        <w:t>CA</w:t>
      </w:r>
      <w:r>
        <w:rPr>
          <w:spacing w:val="-1"/>
        </w:rPr>
        <w:t> </w:t>
      </w:r>
      <w:r>
        <w:rPr/>
        <w:t>June</w:t>
      </w:r>
      <w:r>
        <w:rPr>
          <w:spacing w:val="12"/>
        </w:rPr>
        <w:t> </w:t>
      </w:r>
      <w:r>
        <w:rPr>
          <w:spacing w:val="-4"/>
        </w:rPr>
        <w:t>2012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1"/>
      </w:pPr>
      <w:r>
        <w:rPr>
          <w:smallCaps/>
          <w:color w:val="731B46"/>
          <w:w w:val="105"/>
        </w:rPr>
        <w:t>Key</w:t>
      </w:r>
      <w:r>
        <w:rPr>
          <w:smallCaps/>
          <w:color w:val="731B46"/>
          <w:spacing w:val="-6"/>
          <w:w w:val="105"/>
        </w:rPr>
        <w:t> </w:t>
      </w:r>
      <w:r>
        <w:rPr>
          <w:smallCaps/>
          <w:color w:val="731B46"/>
          <w:spacing w:val="-2"/>
          <w:w w:val="105"/>
        </w:rPr>
        <w:t>Skills</w:t>
      </w:r>
    </w:p>
    <w:p>
      <w:pPr>
        <w:pStyle w:val="BodyText"/>
        <w:spacing w:before="61"/>
        <w:rPr>
          <w:b/>
          <w:sz w:val="20"/>
        </w:rPr>
      </w:pPr>
    </w:p>
    <w:p>
      <w:pPr>
        <w:pStyle w:val="BodyText"/>
        <w:spacing w:line="278" w:lineRule="auto"/>
        <w:ind w:left="678"/>
      </w:pPr>
      <w:r>
        <w:rPr>
          <w:spacing w:val="-2"/>
          <w:w w:val="105"/>
        </w:rPr>
        <w:t>Multi-currency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reconciliation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(USD, </w:t>
      </w:r>
      <w:r>
        <w:rPr>
          <w:w w:val="105"/>
        </w:rPr>
        <w:t>EUR, JPY)</w:t>
      </w:r>
    </w:p>
    <w:p>
      <w:pPr>
        <w:pStyle w:val="BodyText"/>
        <w:spacing w:line="261" w:lineRule="auto" w:before="90"/>
        <w:ind w:left="678"/>
      </w:pPr>
      <w:r>
        <w:rPr>
          <w:w w:val="105"/>
        </w:rPr>
        <w:t>Cross-border collections and </w:t>
      </w:r>
      <w:r>
        <w:rPr/>
        <w:t>international AR management</w:t>
      </w:r>
    </w:p>
    <w:p>
      <w:pPr>
        <w:pStyle w:val="BodyText"/>
        <w:spacing w:line="278" w:lineRule="auto" w:before="103"/>
        <w:ind w:left="678"/>
      </w:pPr>
      <w:r>
        <w:rPr>
          <w:spacing w:val="-2"/>
          <w:w w:val="105"/>
        </w:rPr>
        <w:t>International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standards </w:t>
      </w:r>
      <w:r>
        <w:rPr>
          <w:w w:val="105"/>
        </w:rPr>
        <w:t>compliance (IFRS/GAAP)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Global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distributor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payment monitoring</w:t>
      </w:r>
    </w:p>
    <w:p>
      <w:pPr>
        <w:pStyle w:val="BodyText"/>
        <w:spacing w:line="261" w:lineRule="auto" w:before="104"/>
        <w:ind w:left="678"/>
      </w:pPr>
      <w:r>
        <w:rPr>
          <w:spacing w:val="-2"/>
          <w:w w:val="105"/>
        </w:rPr>
        <w:t>Overseas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audit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schedule preparation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Foreign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exchange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impact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analysis </w:t>
      </w:r>
      <w:r>
        <w:rPr>
          <w:w w:val="105"/>
        </w:rPr>
        <w:t>on AR portfolios</w:t>
      </w:r>
    </w:p>
    <w:p>
      <w:pPr>
        <w:pStyle w:val="BodyText"/>
        <w:spacing w:line="261" w:lineRule="auto" w:before="89"/>
        <w:ind w:left="678" w:right="206"/>
      </w:pPr>
      <w:r>
        <w:rPr>
          <w:spacing w:val="-2"/>
          <w:w w:val="105"/>
        </w:rPr>
        <w:t>ERP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multi-entity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multi-currency</w:t>
      </w:r>
      <w:r>
        <w:rPr>
          <w:spacing w:val="-11"/>
          <w:w w:val="105"/>
        </w:rPr>
        <w:t> </w:t>
      </w:r>
      <w:r>
        <w:rPr>
          <w:w w:val="105"/>
        </w:rPr>
        <w:t>AR</w:t>
      </w:r>
    </w:p>
    <w:p>
      <w:pPr>
        <w:pStyle w:val="BodyText"/>
        <w:spacing w:line="278" w:lineRule="auto" w:before="104"/>
        <w:ind w:left="678" w:right="429"/>
      </w:pPr>
      <w:r>
        <w:rPr>
          <w:spacing w:val="-2"/>
          <w:w w:val="105"/>
        </w:rPr>
        <w:t>Collections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strategy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international accounts</w:t>
      </w:r>
    </w:p>
    <w:p>
      <w:pPr>
        <w:pStyle w:val="BodyText"/>
        <w:spacing w:line="292" w:lineRule="auto" w:before="74"/>
        <w:ind w:left="115" w:right="89" w:hanging="1"/>
        <w:jc w:val="center"/>
      </w:pPr>
      <w:r>
        <w:rPr/>
        <w:br w:type="column"/>
      </w:r>
      <w:r>
        <w:rPr>
          <w:w w:val="105"/>
        </w:rPr>
        <w:t>Global</w:t>
      </w:r>
      <w:r>
        <w:rPr>
          <w:spacing w:val="-2"/>
          <w:w w:val="105"/>
        </w:rPr>
        <w:t> </w:t>
      </w:r>
      <w:r>
        <w:rPr>
          <w:w w:val="105"/>
        </w:rPr>
        <w:t>accounts</w:t>
      </w:r>
      <w:r>
        <w:rPr>
          <w:spacing w:val="-2"/>
          <w:w w:val="105"/>
        </w:rPr>
        <w:t> </w:t>
      </w:r>
      <w:r>
        <w:rPr>
          <w:w w:val="105"/>
        </w:rPr>
        <w:t>receivable</w:t>
      </w:r>
      <w:r>
        <w:rPr>
          <w:spacing w:val="-2"/>
          <w:w w:val="105"/>
        </w:rPr>
        <w:t> </w:t>
      </w:r>
      <w:r>
        <w:rPr>
          <w:w w:val="105"/>
        </w:rPr>
        <w:t>specialist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10+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cross-border</w:t>
      </w:r>
      <w:r>
        <w:rPr>
          <w:spacing w:val="-4"/>
          <w:w w:val="105"/>
        </w:rPr>
        <w:t> </w:t>
      </w:r>
      <w:r>
        <w:rPr>
          <w:w w:val="105"/>
        </w:rPr>
        <w:t>receivables,</w:t>
      </w:r>
      <w:r>
        <w:rPr>
          <w:spacing w:val="-4"/>
          <w:w w:val="105"/>
        </w:rPr>
        <w:t> </w:t>
      </w:r>
      <w:r>
        <w:rPr>
          <w:w w:val="105"/>
        </w:rPr>
        <w:t>multi-currency</w:t>
      </w:r>
      <w:r>
        <w:rPr>
          <w:spacing w:val="-4"/>
          <w:w w:val="105"/>
        </w:rPr>
        <w:t> </w:t>
      </w:r>
      <w:r>
        <w:rPr>
          <w:w w:val="105"/>
        </w:rPr>
        <w:t>reconciliations,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compliance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international accounting</w:t>
      </w:r>
      <w:r>
        <w:rPr>
          <w:spacing w:val="-3"/>
          <w:w w:val="105"/>
        </w:rPr>
        <w:t> </w:t>
      </w:r>
      <w:r>
        <w:rPr>
          <w:w w:val="105"/>
        </w:rPr>
        <w:t>standards.</w:t>
      </w:r>
      <w:r>
        <w:rPr>
          <w:spacing w:val="-3"/>
          <w:w w:val="105"/>
        </w:rPr>
        <w:t> </w:t>
      </w:r>
      <w:r>
        <w:rPr>
          <w:w w:val="105"/>
        </w:rPr>
        <w:t>Proﬁcient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coordinating</w:t>
      </w:r>
      <w:r>
        <w:rPr>
          <w:spacing w:val="-13"/>
          <w:w w:val="105"/>
        </w:rPr>
        <w:t> </w:t>
      </w:r>
      <w:r>
        <w:rPr>
          <w:w w:val="105"/>
        </w:rPr>
        <w:t>AR</w:t>
      </w:r>
      <w:r>
        <w:rPr>
          <w:spacing w:val="-3"/>
          <w:w w:val="105"/>
        </w:rPr>
        <w:t> </w:t>
      </w:r>
      <w:r>
        <w:rPr>
          <w:w w:val="105"/>
        </w:rPr>
        <w:t>operations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USD,</w:t>
      </w:r>
      <w:r>
        <w:rPr>
          <w:spacing w:val="-3"/>
          <w:w w:val="105"/>
        </w:rPr>
        <w:t> </w:t>
      </w:r>
      <w:r>
        <w:rPr>
          <w:w w:val="105"/>
        </w:rPr>
        <w:t>EUR,</w:t>
      </w:r>
      <w:r>
        <w:rPr>
          <w:spacing w:val="-3"/>
          <w:w w:val="105"/>
        </w:rPr>
        <w:t> </w:t>
      </w:r>
      <w:r>
        <w:rPr>
          <w:w w:val="105"/>
        </w:rPr>
        <w:t>and JPY</w:t>
      </w:r>
      <w:r>
        <w:rPr>
          <w:spacing w:val="-7"/>
          <w:w w:val="105"/>
        </w:rPr>
        <w:t> </w:t>
      </w:r>
      <w:r>
        <w:rPr>
          <w:w w:val="105"/>
        </w:rPr>
        <w:t>portfolios,</w:t>
      </w:r>
      <w:r>
        <w:rPr>
          <w:spacing w:val="-4"/>
          <w:w w:val="105"/>
        </w:rPr>
        <w:t> </w:t>
      </w:r>
      <w:r>
        <w:rPr>
          <w:w w:val="105"/>
        </w:rPr>
        <w:t>preparing</w:t>
      </w:r>
      <w:r>
        <w:rPr>
          <w:spacing w:val="-4"/>
          <w:w w:val="105"/>
        </w:rPr>
        <w:t> </w:t>
      </w:r>
      <w:r>
        <w:rPr>
          <w:w w:val="105"/>
        </w:rPr>
        <w:t>overseas</w:t>
      </w:r>
      <w:r>
        <w:rPr>
          <w:spacing w:val="-4"/>
          <w:w w:val="105"/>
        </w:rPr>
        <w:t> </w:t>
      </w:r>
      <w:r>
        <w:rPr>
          <w:w w:val="105"/>
        </w:rPr>
        <w:t>audit</w:t>
      </w:r>
      <w:r>
        <w:rPr>
          <w:spacing w:val="-4"/>
          <w:w w:val="105"/>
        </w:rPr>
        <w:t> </w:t>
      </w:r>
      <w:r>
        <w:rPr>
          <w:w w:val="105"/>
        </w:rPr>
        <w:t>schedules,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overdue</w:t>
      </w:r>
      <w:r>
        <w:rPr>
          <w:spacing w:val="-4"/>
          <w:w w:val="105"/>
        </w:rPr>
        <w:t> </w:t>
      </w:r>
      <w:r>
        <w:rPr>
          <w:w w:val="105"/>
        </w:rPr>
        <w:t>international </w:t>
      </w:r>
      <w:r>
        <w:rPr>
          <w:spacing w:val="-2"/>
          <w:w w:val="105"/>
        </w:rPr>
        <w:t>accounts through coordinated outreach. Skilled at navigating multi-jurisdiction compliance </w:t>
      </w:r>
      <w:r>
        <w:rPr>
          <w:w w:val="105"/>
        </w:rPr>
        <w:t>requirements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supporting</w:t>
      </w:r>
      <w:r>
        <w:rPr>
          <w:spacing w:val="-3"/>
          <w:w w:val="105"/>
        </w:rPr>
        <w:t> </w:t>
      </w:r>
      <w:r>
        <w:rPr>
          <w:w w:val="105"/>
        </w:rPr>
        <w:t>global</w:t>
      </w:r>
      <w:r>
        <w:rPr>
          <w:spacing w:val="-3"/>
          <w:w w:val="105"/>
        </w:rPr>
        <w:t> </w:t>
      </w:r>
      <w:r>
        <w:rPr>
          <w:w w:val="105"/>
        </w:rPr>
        <w:t>ﬁnance</w:t>
      </w:r>
      <w:r>
        <w:rPr>
          <w:spacing w:val="-3"/>
          <w:w w:val="105"/>
        </w:rPr>
        <w:t> </w:t>
      </w:r>
      <w:r>
        <w:rPr>
          <w:w w:val="105"/>
        </w:rPr>
        <w:t>teams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accurate,</w:t>
      </w:r>
      <w:r>
        <w:rPr>
          <w:spacing w:val="-3"/>
          <w:w w:val="105"/>
        </w:rPr>
        <w:t> </w:t>
      </w:r>
      <w:r>
        <w:rPr>
          <w:w w:val="105"/>
        </w:rPr>
        <w:t>timely</w:t>
      </w:r>
      <w:r>
        <w:rPr>
          <w:spacing w:val="-13"/>
          <w:w w:val="105"/>
        </w:rPr>
        <w:t> </w:t>
      </w:r>
      <w:r>
        <w:rPr>
          <w:w w:val="105"/>
        </w:rPr>
        <w:t>AR</w:t>
      </w:r>
      <w:r>
        <w:rPr>
          <w:spacing w:val="-3"/>
          <w:w w:val="105"/>
        </w:rPr>
        <w:t> </w:t>
      </w:r>
      <w:r>
        <w:rPr>
          <w:w w:val="105"/>
        </w:rPr>
        <w:t>reporting.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</w:pPr>
      <w:r>
        <w:rPr>
          <w:smallCaps/>
          <w:color w:val="731B46"/>
          <w:w w:val="105"/>
        </w:rPr>
        <w:t>Professional</w:t>
      </w:r>
      <w:r>
        <w:rPr>
          <w:smallCaps/>
          <w:color w:val="731B46"/>
          <w:spacing w:val="8"/>
          <w:w w:val="105"/>
        </w:rPr>
        <w:t> </w:t>
      </w:r>
      <w:r>
        <w:rPr>
          <w:smallCaps/>
          <w:color w:val="731B46"/>
          <w:spacing w:val="-2"/>
          <w:w w:val="105"/>
        </w:rPr>
        <w:t>Experience</w:t>
      </w:r>
    </w:p>
    <w:p>
      <w:pPr>
        <w:pStyle w:val="BodyText"/>
        <w:spacing w:before="30"/>
        <w:rPr>
          <w:b/>
          <w:sz w:val="20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Global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Accounts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Receivable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Specialist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8"/>
        <w:ind w:left="362"/>
      </w:pPr>
      <w:r>
        <w:rPr/>
        <w:t>Warner</w:t>
      </w:r>
      <w:r>
        <w:rPr>
          <w:spacing w:val="11"/>
        </w:rPr>
        <w:t> </w:t>
      </w:r>
      <w:r>
        <w:rPr/>
        <w:t>Bros.,</w:t>
      </w:r>
      <w:r>
        <w:rPr>
          <w:spacing w:val="11"/>
        </w:rPr>
        <w:t> </w:t>
      </w:r>
      <w:r>
        <w:rPr/>
        <w:t>Burbank,</w:t>
      </w:r>
      <w:r>
        <w:rPr>
          <w:spacing w:val="11"/>
        </w:rPr>
        <w:t> </w:t>
      </w:r>
      <w:r>
        <w:rPr>
          <w:spacing w:val="-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0" w:right="524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receivables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USD,</w:t>
      </w:r>
      <w:r>
        <w:rPr>
          <w:spacing w:val="-13"/>
          <w:w w:val="105"/>
        </w:rPr>
        <w:t> </w:t>
      </w:r>
      <w:r>
        <w:rPr>
          <w:w w:val="105"/>
        </w:rPr>
        <w:t>EUR,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JPY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4"/>
          <w:w w:val="105"/>
        </w:rPr>
        <w:t> </w:t>
      </w:r>
      <w:r>
        <w:rPr>
          <w:w w:val="105"/>
        </w:rPr>
        <w:t>30+</w:t>
      </w:r>
      <w:r>
        <w:rPr>
          <w:spacing w:val="-13"/>
          <w:w w:val="105"/>
        </w:rPr>
        <w:t> </w:t>
      </w:r>
      <w:r>
        <w:rPr>
          <w:w w:val="105"/>
        </w:rPr>
        <w:t>international client accounts, ensuring accurate currency conversion and 99% posting accuracy across all currencies</w:t>
      </w:r>
    </w:p>
    <w:p>
      <w:pPr>
        <w:pStyle w:val="BodyText"/>
        <w:spacing w:line="268" w:lineRule="auto" w:before="75"/>
        <w:ind w:left="1050" w:right="524"/>
      </w:pPr>
      <w:r>
        <w:rPr>
          <w:w w:val="105"/>
        </w:rPr>
        <w:t>Reduced overdue accounts internationally by 15% within 12 months </w:t>
      </w:r>
      <w:r>
        <w:rPr>
          <w:spacing w:val="-2"/>
          <w:w w:val="105"/>
        </w:rPr>
        <w:t>through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coordinated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outreach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combining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region-speciﬁc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communication </w:t>
      </w:r>
      <w:r>
        <w:rPr>
          <w:w w:val="105"/>
        </w:rPr>
        <w:t>strategies and local-time follow-up scheduling</w:t>
      </w:r>
    </w:p>
    <w:p>
      <w:pPr>
        <w:pStyle w:val="BodyText"/>
        <w:spacing w:line="268" w:lineRule="auto" w:before="99"/>
        <w:ind w:left="1050" w:right="524"/>
      </w:pPr>
      <w:r>
        <w:rPr>
          <w:w w:val="105"/>
        </w:rPr>
        <w:t>Prepared</w:t>
      </w:r>
      <w:r>
        <w:rPr>
          <w:spacing w:val="-5"/>
          <w:w w:val="105"/>
        </w:rPr>
        <w:t> </w:t>
      </w:r>
      <w:r>
        <w:rPr>
          <w:w w:val="105"/>
        </w:rPr>
        <w:t>monthly</w:t>
      </w:r>
      <w:r>
        <w:rPr>
          <w:spacing w:val="-4"/>
          <w:w w:val="105"/>
        </w:rPr>
        <w:t> </w:t>
      </w:r>
      <w:r>
        <w:rPr>
          <w:w w:val="105"/>
        </w:rPr>
        <w:t>multi-currency</w:t>
      </w:r>
      <w:r>
        <w:rPr>
          <w:spacing w:val="-14"/>
          <w:w w:val="105"/>
        </w:rPr>
        <w:t> </w:t>
      </w:r>
      <w:r>
        <w:rPr>
          <w:w w:val="105"/>
        </w:rPr>
        <w:t>AR</w:t>
      </w:r>
      <w:r>
        <w:rPr>
          <w:spacing w:val="-3"/>
          <w:w w:val="105"/>
        </w:rPr>
        <w:t> </w:t>
      </w:r>
      <w:r>
        <w:rPr>
          <w:w w:val="105"/>
        </w:rPr>
        <w:t>reconciliation</w:t>
      </w:r>
      <w:r>
        <w:rPr>
          <w:spacing w:val="-4"/>
          <w:w w:val="105"/>
        </w:rPr>
        <w:t> </w:t>
      </w:r>
      <w:r>
        <w:rPr>
          <w:w w:val="105"/>
        </w:rPr>
        <w:t>reports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global </w:t>
      </w:r>
      <w:r>
        <w:rPr>
          <w:spacing w:val="-2"/>
          <w:w w:val="105"/>
        </w:rPr>
        <w:t>ﬁnance leadership, incorporating FX impact analysis and outstanding </w:t>
      </w:r>
      <w:r>
        <w:rPr>
          <w:w w:val="105"/>
        </w:rPr>
        <w:t>balance breakdowns by region</w:t>
      </w:r>
    </w:p>
    <w:p>
      <w:pPr>
        <w:pStyle w:val="BodyText"/>
        <w:spacing w:line="268" w:lineRule="auto" w:before="100"/>
        <w:ind w:left="1050" w:right="793"/>
      </w:pPr>
      <w:r>
        <w:rPr>
          <w:w w:val="105"/>
        </w:rPr>
        <w:t>Coordinated</w:t>
      </w:r>
      <w:r>
        <w:rPr>
          <w:spacing w:val="-14"/>
          <w:w w:val="105"/>
        </w:rPr>
        <w:t> </w:t>
      </w:r>
      <w:r>
        <w:rPr>
          <w:w w:val="105"/>
        </w:rPr>
        <w:t>collections</w:t>
      </w:r>
      <w:r>
        <w:rPr>
          <w:spacing w:val="-13"/>
          <w:w w:val="105"/>
        </w:rPr>
        <w:t> </w:t>
      </w:r>
      <w:r>
        <w:rPr>
          <w:w w:val="105"/>
        </w:rPr>
        <w:t>efforts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5</w:t>
      </w:r>
      <w:r>
        <w:rPr>
          <w:spacing w:val="-13"/>
          <w:w w:val="105"/>
        </w:rPr>
        <w:t> </w:t>
      </w:r>
      <w:r>
        <w:rPr>
          <w:w w:val="105"/>
        </w:rPr>
        <w:t>regional</w:t>
      </w:r>
      <w:r>
        <w:rPr>
          <w:spacing w:val="-13"/>
          <w:w w:val="105"/>
        </w:rPr>
        <w:t> </w:t>
      </w:r>
      <w:r>
        <w:rPr>
          <w:w w:val="105"/>
        </w:rPr>
        <w:t>AR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14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North America,</w:t>
      </w:r>
      <w:r>
        <w:rPr>
          <w:spacing w:val="-14"/>
          <w:w w:val="105"/>
        </w:rPr>
        <w:t> </w:t>
      </w:r>
      <w:r>
        <w:rPr>
          <w:w w:val="105"/>
        </w:rPr>
        <w:t>Europe,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Asia,</w:t>
      </w:r>
      <w:r>
        <w:rPr>
          <w:spacing w:val="-9"/>
          <w:w w:val="105"/>
        </w:rPr>
        <w:t> </w:t>
      </w:r>
      <w:r>
        <w:rPr>
          <w:w w:val="105"/>
        </w:rPr>
        <w:t>standardizing</w:t>
      </w:r>
      <w:r>
        <w:rPr>
          <w:spacing w:val="-10"/>
          <w:w w:val="105"/>
        </w:rPr>
        <w:t> </w:t>
      </w:r>
      <w:r>
        <w:rPr>
          <w:w w:val="105"/>
        </w:rPr>
        <w:t>escalation</w:t>
      </w:r>
      <w:r>
        <w:rPr>
          <w:spacing w:val="-10"/>
          <w:w w:val="105"/>
        </w:rPr>
        <w:t> </w:t>
      </w:r>
      <w:r>
        <w:rPr>
          <w:w w:val="105"/>
        </w:rPr>
        <w:t>procedures</w:t>
      </w:r>
      <w:r>
        <w:rPr>
          <w:spacing w:val="-10"/>
          <w:w w:val="105"/>
        </w:rPr>
        <w:t> </w:t>
      </w:r>
      <w:r>
        <w:rPr>
          <w:w w:val="105"/>
        </w:rPr>
        <w:t>that reduced cross-region processing delays by 25%</w:t>
      </w:r>
    </w:p>
    <w:p>
      <w:pPr>
        <w:pStyle w:val="BodyText"/>
        <w:spacing w:line="268" w:lineRule="auto" w:before="99"/>
        <w:ind w:left="1050" w:right="793"/>
      </w:pPr>
      <w:r>
        <w:rPr>
          <w:spacing w:val="-2"/>
          <w:w w:val="105"/>
        </w:rPr>
        <w:t>Supported 4 overseas audit preparations by compiling multi-currency </w:t>
      </w:r>
      <w:r>
        <w:rPr>
          <w:w w:val="105"/>
        </w:rPr>
        <w:t>AR schedules and IFRS-compliant documentation packages within audit timelines</w:t>
      </w:r>
    </w:p>
    <w:p>
      <w:pPr>
        <w:pStyle w:val="BodyText"/>
        <w:spacing w:line="268" w:lineRule="auto" w:before="100"/>
        <w:ind w:left="1050" w:right="853"/>
      </w:pPr>
      <w:r>
        <w:rPr>
          <w:w w:val="105"/>
        </w:rPr>
        <w:t>Developed FX exposure monitoring reports tracking currency ﬂuctuation</w:t>
      </w:r>
      <w:r>
        <w:rPr>
          <w:spacing w:val="-14"/>
          <w:w w:val="105"/>
        </w:rPr>
        <w:t> </w:t>
      </w:r>
      <w:r>
        <w:rPr>
          <w:w w:val="105"/>
        </w:rPr>
        <w:t>impact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outstanding</w:t>
      </w:r>
      <w:r>
        <w:rPr>
          <w:spacing w:val="-13"/>
          <w:w w:val="105"/>
        </w:rPr>
        <w:t> </w:t>
      </w:r>
      <w:r>
        <w:rPr>
          <w:w w:val="105"/>
        </w:rPr>
        <w:t>receivables,</w:t>
      </w:r>
      <w:r>
        <w:rPr>
          <w:spacing w:val="-13"/>
          <w:w w:val="105"/>
        </w:rPr>
        <w:t> </w:t>
      </w:r>
      <w:r>
        <w:rPr>
          <w:w w:val="105"/>
        </w:rPr>
        <w:t>used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treasury</w:t>
      </w:r>
      <w:r>
        <w:rPr>
          <w:spacing w:val="-14"/>
          <w:w w:val="105"/>
        </w:rPr>
        <w:t> </w:t>
      </w:r>
      <w:r>
        <w:rPr>
          <w:w w:val="105"/>
        </w:rPr>
        <w:t>team for hedging strategy decisions</w:t>
      </w:r>
    </w:p>
    <w:p>
      <w:pPr>
        <w:pStyle w:val="BodyText"/>
        <w:spacing w:before="12"/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Accounts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Receivable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Analyst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2013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13"/>
          <w:sz w:val="18"/>
        </w:rPr>
        <w:t> </w:t>
      </w:r>
      <w:r>
        <w:rPr>
          <w:b/>
          <w:spacing w:val="-4"/>
          <w:sz w:val="18"/>
        </w:rPr>
        <w:t>2016</w:t>
      </w:r>
    </w:p>
    <w:p>
      <w:pPr>
        <w:pStyle w:val="BodyText"/>
        <w:spacing w:before="18"/>
        <w:ind w:left="362"/>
      </w:pPr>
      <w:r>
        <w:rPr>
          <w:spacing w:val="-2"/>
          <w:w w:val="105"/>
        </w:rPr>
        <w:t>Mattel,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Segundo,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0"/>
      </w:pPr>
    </w:p>
    <w:p>
      <w:pPr>
        <w:pStyle w:val="BodyText"/>
        <w:spacing w:line="278" w:lineRule="auto" w:before="1"/>
        <w:ind w:left="1050" w:right="793"/>
      </w:pPr>
      <w:r>
        <w:rPr>
          <w:w w:val="105"/>
        </w:rPr>
        <w:t>Monitored</w:t>
      </w:r>
      <w:r>
        <w:rPr>
          <w:spacing w:val="-14"/>
          <w:w w:val="105"/>
        </w:rPr>
        <w:t> </w:t>
      </w:r>
      <w:r>
        <w:rPr>
          <w:w w:val="105"/>
        </w:rPr>
        <w:t>payments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20+</w:t>
      </w:r>
      <w:r>
        <w:rPr>
          <w:spacing w:val="-13"/>
          <w:w w:val="105"/>
        </w:rPr>
        <w:t> </w:t>
      </w:r>
      <w:r>
        <w:rPr>
          <w:w w:val="105"/>
        </w:rPr>
        <w:t>global</w:t>
      </w:r>
      <w:r>
        <w:rPr>
          <w:spacing w:val="-13"/>
          <w:w w:val="105"/>
        </w:rPr>
        <w:t> </w:t>
      </w:r>
      <w:r>
        <w:rPr>
          <w:w w:val="105"/>
        </w:rPr>
        <w:t>distributors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4</w:t>
      </w:r>
      <w:r>
        <w:rPr>
          <w:spacing w:val="-14"/>
          <w:w w:val="105"/>
        </w:rPr>
        <w:t> </w:t>
      </w:r>
      <w:r>
        <w:rPr>
          <w:w w:val="105"/>
        </w:rPr>
        <w:t>currency </w:t>
      </w:r>
      <w:r>
        <w:rPr/>
        <w:t>zones,</w:t>
      </w:r>
      <w:r>
        <w:rPr>
          <w:spacing w:val="13"/>
        </w:rPr>
        <w:t> </w:t>
      </w:r>
      <w:r>
        <w:rPr/>
        <w:t>maintaining</w:t>
      </w:r>
      <w:r>
        <w:rPr>
          <w:spacing w:val="13"/>
        </w:rPr>
        <w:t> </w:t>
      </w:r>
      <w:r>
        <w:rPr/>
        <w:t>97%</w:t>
      </w:r>
      <w:r>
        <w:rPr>
          <w:spacing w:val="13"/>
        </w:rPr>
        <w:t> </w:t>
      </w:r>
      <w:r>
        <w:rPr/>
        <w:t>on-time</w:t>
      </w:r>
      <w:r>
        <w:rPr>
          <w:spacing w:val="14"/>
        </w:rPr>
        <w:t> </w:t>
      </w:r>
      <w:r>
        <w:rPr/>
        <w:t>collection</w:t>
      </w:r>
      <w:r>
        <w:rPr>
          <w:spacing w:val="13"/>
        </w:rPr>
        <w:t> </w:t>
      </w:r>
      <w:r>
        <w:rPr/>
        <w:t>rate</w:t>
      </w:r>
      <w:r>
        <w:rPr>
          <w:spacing w:val="13"/>
        </w:rPr>
        <w:t> </w:t>
      </w:r>
      <w:r>
        <w:rPr/>
        <w:t>throughout</w:t>
      </w:r>
      <w:r>
        <w:rPr>
          <w:spacing w:val="13"/>
        </w:rPr>
        <w:t> </w:t>
      </w:r>
      <w:r>
        <w:rPr>
          <w:spacing w:val="-2"/>
        </w:rPr>
        <w:t>tenure</w:t>
      </w:r>
    </w:p>
    <w:p>
      <w:pPr>
        <w:pStyle w:val="BodyText"/>
        <w:spacing w:line="268" w:lineRule="auto" w:before="89"/>
        <w:ind w:left="1050" w:right="524"/>
      </w:pPr>
      <w:r>
        <w:rPr>
          <w:spacing w:val="-2"/>
          <w:w w:val="105"/>
        </w:rPr>
        <w:t>Prepared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schedules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overseas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audits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annually,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compiling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multi-</w:t>
      </w:r>
      <w:r>
        <w:rPr>
          <w:w w:val="105"/>
        </w:rPr>
        <w:t>currency payment records and reconciliation documentation in IFRS </w:t>
      </w:r>
      <w:r>
        <w:rPr>
          <w:spacing w:val="-2"/>
          <w:w w:val="105"/>
        </w:rPr>
        <w:t>format</w:t>
      </w:r>
    </w:p>
    <w:p>
      <w:pPr>
        <w:pStyle w:val="BodyText"/>
        <w:spacing w:line="261" w:lineRule="auto" w:before="100"/>
        <w:ind w:left="1050" w:right="524"/>
      </w:pPr>
      <w:r>
        <w:rPr>
          <w:spacing w:val="-2"/>
          <w:w w:val="105"/>
        </w:rPr>
        <w:t>Reconciled intercompany transactions across 6 international entities </w:t>
      </w:r>
      <w:r>
        <w:rPr>
          <w:w w:val="105"/>
        </w:rPr>
        <w:t>monthly, resolving discrepancies within 48-hour targets</w:t>
      </w:r>
    </w:p>
    <w:p>
      <w:pPr>
        <w:pStyle w:val="BodyText"/>
        <w:spacing w:line="278" w:lineRule="auto" w:before="104"/>
        <w:ind w:left="1050" w:right="793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developing</w:t>
      </w:r>
      <w:r>
        <w:rPr>
          <w:spacing w:val="-13"/>
          <w:w w:val="105"/>
        </w:rPr>
        <w:t> </w:t>
      </w:r>
      <w:r>
        <w:rPr>
          <w:w w:val="105"/>
        </w:rPr>
        <w:t>FX-adjusted</w:t>
      </w:r>
      <w:r>
        <w:rPr>
          <w:spacing w:val="-13"/>
          <w:w w:val="105"/>
        </w:rPr>
        <w:t> </w:t>
      </w:r>
      <w:r>
        <w:rPr>
          <w:w w:val="105"/>
        </w:rPr>
        <w:t>AR</w:t>
      </w:r>
      <w:r>
        <w:rPr>
          <w:spacing w:val="-13"/>
          <w:w w:val="105"/>
        </w:rPr>
        <w:t> </w:t>
      </w:r>
      <w:r>
        <w:rPr>
          <w:w w:val="105"/>
        </w:rPr>
        <w:t>aging</w:t>
      </w:r>
      <w:r>
        <w:rPr>
          <w:spacing w:val="-13"/>
          <w:w w:val="105"/>
        </w:rPr>
        <w:t> </w:t>
      </w:r>
      <w:r>
        <w:rPr>
          <w:w w:val="105"/>
        </w:rPr>
        <w:t>reports</w:t>
      </w:r>
      <w:r>
        <w:rPr>
          <w:spacing w:val="-13"/>
          <w:w w:val="105"/>
        </w:rPr>
        <w:t> </w:t>
      </w:r>
      <w:r>
        <w:rPr>
          <w:w w:val="105"/>
        </w:rPr>
        <w:t>used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the global treasury team for cash ﬂow forecasting</w:t>
      </w:r>
    </w:p>
    <w:p>
      <w:pPr>
        <w:pStyle w:val="Heading1"/>
        <w:spacing w:before="183"/>
      </w:pPr>
      <w:r>
        <w:rPr>
          <w:smallCaps/>
          <w:color w:val="731B46"/>
          <w:spacing w:val="-2"/>
          <w:w w:val="105"/>
        </w:rPr>
        <w:t>Certifications</w:t>
      </w:r>
    </w:p>
    <w:p>
      <w:pPr>
        <w:pStyle w:val="BodyText"/>
        <w:spacing w:before="15"/>
        <w:rPr>
          <w:b/>
          <w:sz w:val="20"/>
        </w:rPr>
      </w:pPr>
    </w:p>
    <w:p>
      <w:pPr>
        <w:pStyle w:val="BodyText"/>
        <w:spacing w:before="1"/>
        <w:ind w:left="659"/>
      </w:pPr>
      <w:r>
        <w:rPr/>
        <w:t>Certiﬁed</w:t>
      </w:r>
      <w:r>
        <w:rPr>
          <w:spacing w:val="15"/>
        </w:rPr>
        <w:t> </w:t>
      </w:r>
      <w:r>
        <w:rPr/>
        <w:t>Global</w:t>
      </w:r>
      <w:r>
        <w:rPr>
          <w:spacing w:val="16"/>
        </w:rPr>
        <w:t> </w:t>
      </w:r>
      <w:r>
        <w:rPr/>
        <w:t>Business</w:t>
      </w:r>
      <w:r>
        <w:rPr>
          <w:spacing w:val="15"/>
        </w:rPr>
        <w:t> </w:t>
      </w:r>
      <w:r>
        <w:rPr/>
        <w:t>Professional</w:t>
      </w:r>
      <w:r>
        <w:rPr>
          <w:spacing w:val="16"/>
        </w:rPr>
        <w:t> </w:t>
      </w:r>
      <w:r>
        <w:rPr/>
        <w:t>(CGBP),</w:t>
      </w:r>
      <w:r>
        <w:rPr>
          <w:spacing w:val="16"/>
        </w:rPr>
        <w:t> </w:t>
      </w:r>
      <w:r>
        <w:rPr/>
        <w:t>NASBITE,</w:t>
      </w:r>
      <w:r>
        <w:rPr>
          <w:spacing w:val="15"/>
        </w:rPr>
        <w:t> </w:t>
      </w:r>
      <w:r>
        <w:rPr/>
        <w:t>January</w:t>
      </w:r>
      <w:r>
        <w:rPr>
          <w:spacing w:val="16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1000" w:bottom="280" w:left="141" w:right="141"/>
      <w:cols w:num="2" w:equalWidth="0">
        <w:col w:w="3580" w:space="494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2026-03-21T23:48:39Z</dcterms:created>
  <dcterms:modified xsi:type="dcterms:W3CDTF">2026-03-21T23:48:39Z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