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line="244" w:lineRule="auto" w:before="0"/>
        <w:ind w:left="5863" w:right="2392" w:hanging="1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9"/>
          <w:sz w:val="82"/>
        </w:rPr>
        <w:t>Morgan </w:t>
      </w:r>
      <w:r>
        <w:rPr>
          <w:rFonts w:ascii="Microsoft Sans Serif"/>
          <w:color w:val="0C0C0C"/>
          <w:spacing w:val="10"/>
          <w:sz w:val="82"/>
        </w:rPr>
        <w:t>Johnson</w:t>
      </w:r>
    </w:p>
    <w:p>
      <w:pPr>
        <w:spacing w:before="93"/>
        <w:ind w:left="3481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Lead</w:t>
      </w:r>
      <w:r>
        <w:rPr>
          <w:rFonts w:ascii="Microsoft Sans Serif"/>
          <w:color w:val="0C0C0C"/>
          <w:spacing w:val="25"/>
          <w:sz w:val="26"/>
        </w:rPr>
        <w:t> </w:t>
      </w:r>
      <w:r>
        <w:rPr>
          <w:rFonts w:ascii="Microsoft Sans Serif"/>
          <w:color w:val="0C0C0C"/>
          <w:sz w:val="26"/>
        </w:rPr>
        <w:t>Budget</w:t>
      </w:r>
      <w:r>
        <w:rPr>
          <w:rFonts w:ascii="Microsoft Sans Serif"/>
          <w:color w:val="0C0C0C"/>
          <w:spacing w:val="25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Analyst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pStyle w:val="BodyText"/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0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spacing w:line="273" w:lineRule="auto" w:before="79"/>
        <w:ind w:left="114" w:right="971" w:firstLine="0"/>
        <w:jc w:val="center"/>
        <w:rPr>
          <w:sz w:val="16"/>
        </w:rPr>
      </w:pPr>
      <w:r>
        <w:rPr/>
        <w:br w:type="column"/>
      </w:r>
      <w:r>
        <w:rPr>
          <w:color w:val="0C0C0C"/>
          <w:w w:val="105"/>
          <w:sz w:val="16"/>
        </w:rPr>
        <w:t>Senior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finance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professional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11+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years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managing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large-scale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budgets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leading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cross-functional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financial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planning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initiatives.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Supervises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team of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6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analysts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overseeing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$320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million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statewide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budget,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centralized reporting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systems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reducing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errors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by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35%,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developed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budget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models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</w:p>
    <w:p>
      <w:pPr>
        <w:spacing w:line="273" w:lineRule="auto" w:before="1"/>
        <w:ind w:left="252" w:right="1109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$90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million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public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health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program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funds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at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the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Colorado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Public</w:t>
      </w:r>
      <w:r>
        <w:rPr>
          <w:color w:val="0C0C0C"/>
          <w:spacing w:val="37"/>
          <w:w w:val="105"/>
          <w:sz w:val="16"/>
        </w:rPr>
        <w:t> </w:t>
      </w:r>
      <w:r>
        <w:rPr>
          <w:color w:val="0C0C0C"/>
          <w:w w:val="105"/>
          <w:sz w:val="16"/>
        </w:rPr>
        <w:t>Health Office. MPA and B.S. in Economics with expertise in multi-year budgeting,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KPI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reporting,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staff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supervision,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aligning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fiscal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policy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agency strategic goals.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5" w:right="0"/>
          <w:cols w:num="2" w:equalWidth="0">
            <w:col w:w="2181" w:space="2160"/>
            <w:col w:w="7154"/>
          </w:cols>
        </w:sectPr>
      </w:pPr>
    </w:p>
    <w:p>
      <w:pPr>
        <w:pStyle w:val="BodyText"/>
        <w:spacing w:before="193"/>
        <w:ind w:left="8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153508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954A4A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87317pt;width:387.45pt;height:24pt;mso-position-horizontal-relative:page;mso-position-vertical-relative:paragraph;z-index:15729664" type="#_x0000_t202" id="docshape1" filled="true" fillcolor="#954a4a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5"/>
        <w:ind w:left="839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5"/>
      </w:pPr>
    </w:p>
    <w:p>
      <w:pPr>
        <w:pStyle w:val="BodyText"/>
        <w:spacing w:before="1"/>
        <w:ind w:left="820"/>
      </w:pPr>
      <w:r>
        <w:rPr>
          <w:color w:val="FFFFFF"/>
          <w:w w:val="105"/>
        </w:rPr>
        <w:t>Denver, CO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4"/>
          <w:w w:val="105"/>
        </w:rPr>
        <w:t>80203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  <w:spacing w:before="1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278" w:lineRule="auto"/>
        <w:ind w:left="690" w:right="151"/>
      </w:pPr>
      <w:r>
        <w:rPr>
          <w:color w:val="FFFFFF"/>
          <w:spacing w:val="-2"/>
          <w:w w:val="105"/>
        </w:rPr>
        <w:t>Cross-department </w:t>
      </w:r>
      <w:r>
        <w:rPr>
          <w:color w:val="FFFFFF"/>
          <w:w w:val="105"/>
        </w:rPr>
        <w:t>collaboration and stakeholder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78" w:lineRule="auto" w:before="75"/>
        <w:ind w:left="690"/>
      </w:pPr>
      <w:r>
        <w:rPr>
          <w:color w:val="FFFFFF"/>
          <w:w w:val="105"/>
        </w:rPr>
        <w:t>Financial planning and multi-year budgeting</w:t>
      </w:r>
    </w:p>
    <w:p>
      <w:pPr>
        <w:pStyle w:val="BodyText"/>
        <w:spacing w:line="261" w:lineRule="auto" w:before="89"/>
        <w:ind w:left="690"/>
      </w:pPr>
      <w:r>
        <w:rPr>
          <w:color w:val="FFFFFF"/>
          <w:w w:val="105"/>
        </w:rPr>
        <w:t>KPI reporting and performance </w:t>
      </w:r>
      <w:r>
        <w:rPr>
          <w:color w:val="FFFFFF"/>
          <w:spacing w:val="-2"/>
          <w:w w:val="105"/>
        </w:rPr>
        <w:t>measurement</w:t>
      </w:r>
    </w:p>
    <w:p>
      <w:pPr>
        <w:pStyle w:val="BodyText"/>
        <w:spacing w:line="278" w:lineRule="auto" w:before="104"/>
        <w:ind w:left="690" w:right="151"/>
      </w:pPr>
      <w:r>
        <w:rPr>
          <w:color w:val="FFFFFF"/>
          <w:w w:val="105"/>
        </w:rPr>
        <w:t>Multi-year budget modeling and fund analysis</w:t>
      </w:r>
    </w:p>
    <w:p>
      <w:pPr>
        <w:pStyle w:val="BodyText"/>
        <w:spacing w:line="278" w:lineRule="auto" w:before="75"/>
        <w:ind w:left="690"/>
      </w:pPr>
      <w:r>
        <w:rPr>
          <w:color w:val="FFFFFF"/>
          <w:w w:val="105"/>
        </w:rPr>
        <w:t>Staff supervision and team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61" w:lineRule="auto" w:before="90"/>
        <w:ind w:left="690"/>
      </w:pPr>
      <w:r>
        <w:rPr>
          <w:color w:val="FFFFFF"/>
          <w:w w:val="105"/>
        </w:rPr>
        <w:t>Centralized reporting systems and process improvement</w:t>
      </w:r>
    </w:p>
    <w:p>
      <w:pPr>
        <w:pStyle w:val="BodyText"/>
        <w:spacing w:line="261" w:lineRule="auto" w:before="103"/>
        <w:ind w:left="690"/>
      </w:pPr>
      <w:r>
        <w:rPr>
          <w:color w:val="FFFFFF"/>
          <w:w w:val="105"/>
        </w:rPr>
        <w:t>Legislative and public stakeholder presentations</w:t>
      </w:r>
    </w:p>
    <w:p>
      <w:pPr>
        <w:pStyle w:val="BodyText"/>
        <w:spacing w:line="278" w:lineRule="auto" w:before="104"/>
        <w:ind w:left="690"/>
      </w:pPr>
      <w:r>
        <w:rPr>
          <w:color w:val="FFFFFF"/>
          <w:w w:val="105"/>
        </w:rPr>
        <w:t>Vendor and staffing cost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line="261" w:lineRule="auto" w:before="90"/>
        <w:ind w:left="690"/>
      </w:pPr>
      <w:r>
        <w:rPr>
          <w:color w:val="FFFFFF"/>
          <w:w w:val="105"/>
        </w:rPr>
        <w:t>Strategic fiscal policy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pStyle w:val="BodyText"/>
        <w:spacing w:before="1"/>
        <w:ind w:left="11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4"/>
      </w:pPr>
      <w:r>
        <w:rPr/>
        <w:t>Lead</w:t>
      </w:r>
      <w:r>
        <w:rPr>
          <w:spacing w:val="33"/>
        </w:rPr>
        <w:t> </w:t>
      </w:r>
      <w:r>
        <w:rPr/>
        <w:t>Budget</w:t>
      </w:r>
      <w:r>
        <w:rPr>
          <w:spacing w:val="18"/>
        </w:rPr>
        <w:t> </w:t>
      </w:r>
      <w:r>
        <w:rPr/>
        <w:t>Analyst</w:t>
      </w:r>
      <w:r>
        <w:rPr>
          <w:spacing w:val="35"/>
        </w:rPr>
        <w:t> </w:t>
      </w:r>
      <w:r>
        <w:rPr/>
        <w:t>|</w:t>
      </w:r>
      <w:r>
        <w:rPr>
          <w:spacing w:val="34"/>
        </w:rPr>
        <w:t> </w:t>
      </w:r>
      <w:r>
        <w:rPr/>
        <w:t>Colorado</w:t>
      </w:r>
      <w:r>
        <w:rPr>
          <w:spacing w:val="33"/>
        </w:rPr>
        <w:t> </w:t>
      </w:r>
      <w:r>
        <w:rPr/>
        <w:t>Department</w:t>
      </w:r>
      <w:r>
        <w:rPr>
          <w:spacing w:val="35"/>
        </w:rPr>
        <w:t> </w:t>
      </w:r>
      <w:r>
        <w:rPr/>
        <w:t>of</w:t>
      </w:r>
      <w:r>
        <w:rPr>
          <w:spacing w:val="34"/>
        </w:rPr>
        <w:t> </w:t>
      </w:r>
      <w:r>
        <w:rPr/>
        <w:t>Human</w:t>
      </w:r>
      <w:r>
        <w:rPr>
          <w:spacing w:val="33"/>
        </w:rPr>
        <w:t> </w:t>
      </w:r>
      <w:r>
        <w:rPr/>
        <w:t>Services</w:t>
      </w:r>
      <w:r>
        <w:rPr>
          <w:spacing w:val="35"/>
        </w:rPr>
        <w:t> </w:t>
      </w:r>
      <w:r>
        <w:rPr/>
        <w:t>|</w:t>
      </w:r>
      <w:r>
        <w:rPr>
          <w:spacing w:val="34"/>
        </w:rPr>
        <w:t> </w:t>
      </w:r>
      <w:r>
        <w:rPr/>
        <w:t>Denver,</w:t>
      </w:r>
      <w:r>
        <w:rPr>
          <w:spacing w:val="35"/>
        </w:rPr>
        <w:t> </w:t>
      </w:r>
      <w:r>
        <w:rPr>
          <w:spacing w:val="-5"/>
        </w:rPr>
        <w:t>CO</w:t>
      </w:r>
    </w:p>
    <w:p>
      <w:pPr>
        <w:pStyle w:val="BodyText"/>
        <w:tabs>
          <w:tab w:pos="895" w:val="left" w:leader="none"/>
        </w:tabs>
        <w:spacing w:line="268" w:lineRule="auto" w:before="153"/>
        <w:ind w:left="895" w:right="397" w:hanging="30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 a team of 6 budget analysts managing a $320 million statewide budget</w:t>
      </w:r>
      <w:r>
        <w:rPr>
          <w:spacing w:val="27"/>
          <w:w w:val="105"/>
        </w:rPr>
        <w:t> </w:t>
      </w:r>
      <w:r>
        <w:rPr>
          <w:w w:val="105"/>
        </w:rPr>
        <w:t>across</w:t>
      </w:r>
      <w:r>
        <w:rPr>
          <w:spacing w:val="27"/>
          <w:w w:val="105"/>
        </w:rPr>
        <w:t> </w:t>
      </w:r>
      <w:r>
        <w:rPr>
          <w:w w:val="105"/>
        </w:rPr>
        <w:t>12</w:t>
      </w:r>
      <w:r>
        <w:rPr>
          <w:spacing w:val="27"/>
          <w:w w:val="105"/>
        </w:rPr>
        <w:t> </w:t>
      </w:r>
      <w:r>
        <w:rPr>
          <w:w w:val="105"/>
        </w:rPr>
        <w:t>program</w:t>
      </w:r>
      <w:r>
        <w:rPr>
          <w:spacing w:val="26"/>
          <w:w w:val="105"/>
        </w:rPr>
        <w:t> </w:t>
      </w:r>
      <w:r>
        <w:rPr>
          <w:w w:val="105"/>
        </w:rPr>
        <w:t>divisions,</w:t>
      </w:r>
      <w:r>
        <w:rPr>
          <w:spacing w:val="27"/>
          <w:w w:val="105"/>
        </w:rPr>
        <w:t> </w:t>
      </w:r>
      <w:r>
        <w:rPr>
          <w:w w:val="105"/>
        </w:rPr>
        <w:t>setting</w:t>
      </w:r>
      <w:r>
        <w:rPr>
          <w:spacing w:val="27"/>
          <w:w w:val="105"/>
        </w:rPr>
        <w:t> </w:t>
      </w:r>
      <w:r>
        <w:rPr>
          <w:w w:val="105"/>
        </w:rPr>
        <w:t>team</w:t>
      </w:r>
      <w:r>
        <w:rPr>
          <w:spacing w:val="26"/>
          <w:w w:val="105"/>
        </w:rPr>
        <w:t> </w:t>
      </w:r>
      <w:r>
        <w:rPr>
          <w:w w:val="105"/>
        </w:rPr>
        <w:t>priorities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reviewing all analyst outputs before submission</w:t>
      </w:r>
    </w:p>
    <w:p>
      <w:pPr>
        <w:pStyle w:val="BodyText"/>
        <w:tabs>
          <w:tab w:pos="895" w:val="left" w:leader="none"/>
        </w:tabs>
        <w:spacing w:line="268" w:lineRule="auto" w:before="99"/>
        <w:ind w:left="895" w:right="53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initiative to centralize financial reporting across all divisions,</w:t>
      </w:r>
      <w:r>
        <w:rPr>
          <w:spacing w:val="40"/>
          <w:w w:val="105"/>
        </w:rPr>
        <w:t> </w:t>
      </w:r>
      <w:r>
        <w:rPr>
          <w:w w:val="105"/>
        </w:rPr>
        <w:t>standardizing templates and data sources that reduced reporting errors by</w:t>
      </w:r>
      <w:r>
        <w:rPr>
          <w:spacing w:val="40"/>
          <w:w w:val="105"/>
        </w:rPr>
        <w:t> </w:t>
      </w:r>
      <w:r>
        <w:rPr>
          <w:w w:val="105"/>
        </w:rPr>
        <w:t>35% and cut cycle time by 20%</w:t>
      </w:r>
    </w:p>
    <w:p>
      <w:pPr>
        <w:pStyle w:val="BodyText"/>
        <w:tabs>
          <w:tab w:pos="895" w:val="left" w:leader="none"/>
        </w:tabs>
        <w:spacing w:line="268" w:lineRule="auto" w:before="100"/>
        <w:ind w:left="895" w:right="77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 with division heads to ensure funding allocations align with agency strategic goals, facilitating quarterly planning sessions and</w:t>
      </w:r>
      <w:r>
        <w:rPr>
          <w:spacing w:val="40"/>
          <w:w w:val="105"/>
        </w:rPr>
        <w:t> </w:t>
      </w:r>
      <w:r>
        <w:rPr>
          <w:w w:val="105"/>
        </w:rPr>
        <w:t>adjusting budgets to reflect programmatic shifts</w:t>
      </w:r>
    </w:p>
    <w:p>
      <w:pPr>
        <w:pStyle w:val="BodyText"/>
        <w:tabs>
          <w:tab w:pos="895" w:val="left" w:leader="none"/>
        </w:tabs>
        <w:spacing w:line="268" w:lineRule="auto" w:before="99"/>
        <w:ind w:left="895" w:right="507" w:hanging="304"/>
        <w:jc w:val="both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 and present annual budget submissions to the state legislature, responding to committee questions on program funding levels, outcome metrics, and budget-to-actual performance</w:t>
      </w:r>
    </w:p>
    <w:p>
      <w:pPr>
        <w:pStyle w:val="BodyText"/>
        <w:tabs>
          <w:tab w:pos="895" w:val="left" w:leader="none"/>
        </w:tabs>
        <w:spacing w:line="278" w:lineRule="auto" w:before="85"/>
        <w:ind w:left="895" w:right="53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 multi-year budget models incorporating population trend data,</w:t>
      </w:r>
      <w:r>
        <w:rPr>
          <w:spacing w:val="40"/>
          <w:w w:val="105"/>
        </w:rPr>
        <w:t> </w:t>
      </w:r>
      <w:r>
        <w:rPr>
          <w:w w:val="105"/>
        </w:rPr>
        <w:t>federal match rates, and inflation assumptions to support 3-year planning</w:t>
      </w:r>
      <w:r>
        <w:rPr>
          <w:spacing w:val="40"/>
          <w:w w:val="105"/>
        </w:rPr>
        <w:t> </w:t>
      </w:r>
      <w:r>
        <w:rPr>
          <w:w w:val="105"/>
        </w:rPr>
        <w:t>cycles across major programs</w:t>
      </w:r>
    </w:p>
    <w:p>
      <w:pPr>
        <w:pStyle w:val="BodyText"/>
        <w:tabs>
          <w:tab w:pos="895" w:val="left" w:leader="none"/>
        </w:tabs>
        <w:spacing w:line="268" w:lineRule="auto" w:before="75"/>
        <w:ind w:left="895" w:right="24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Mentor 3 senior analysts on advanced financial modeling techniques and</w:t>
      </w:r>
      <w:r>
        <w:rPr>
          <w:spacing w:val="40"/>
          <w:w w:val="105"/>
        </w:rPr>
        <w:t> </w:t>
      </w:r>
      <w:r>
        <w:rPr>
          <w:w w:val="105"/>
        </w:rPr>
        <w:t>presentation skills, reducing their time to an independent deliverable from 8</w:t>
      </w:r>
      <w:r>
        <w:rPr>
          <w:spacing w:val="40"/>
          <w:w w:val="105"/>
        </w:rPr>
        <w:t> </w:t>
      </w:r>
      <w:r>
        <w:rPr>
          <w:w w:val="105"/>
        </w:rPr>
        <w:t>weeks to 4 weeks</w:t>
      </w:r>
    </w:p>
    <w:p>
      <w:pPr>
        <w:pStyle w:val="BodyText"/>
        <w:spacing w:before="174"/>
        <w:ind w:left="114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4"/>
      </w:pPr>
      <w:r>
        <w:rPr/>
        <w:t>Senior</w:t>
      </w:r>
      <w:r>
        <w:rPr>
          <w:spacing w:val="33"/>
        </w:rPr>
        <w:t> </w:t>
      </w:r>
      <w:r>
        <w:rPr/>
        <w:t>Budget</w:t>
      </w:r>
      <w:r>
        <w:rPr>
          <w:spacing w:val="17"/>
        </w:rPr>
        <w:t> </w:t>
      </w:r>
      <w:r>
        <w:rPr/>
        <w:t>Analyst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Colorado</w:t>
      </w:r>
      <w:r>
        <w:rPr>
          <w:spacing w:val="31"/>
        </w:rPr>
        <w:t> </w:t>
      </w:r>
      <w:r>
        <w:rPr/>
        <w:t>Public</w:t>
      </w:r>
      <w:r>
        <w:rPr>
          <w:spacing w:val="34"/>
        </w:rPr>
        <w:t> </w:t>
      </w:r>
      <w:r>
        <w:rPr/>
        <w:t>Health</w:t>
      </w:r>
      <w:r>
        <w:rPr>
          <w:spacing w:val="31"/>
        </w:rPr>
        <w:t> </w:t>
      </w:r>
      <w:r>
        <w:rPr/>
        <w:t>Office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Denver,</w:t>
      </w:r>
      <w:r>
        <w:rPr>
          <w:spacing w:val="33"/>
        </w:rPr>
        <w:t> </w:t>
      </w:r>
      <w:r>
        <w:rPr>
          <w:spacing w:val="-5"/>
        </w:rPr>
        <w:t>CO</w:t>
      </w:r>
    </w:p>
    <w:p>
      <w:pPr>
        <w:pStyle w:val="BodyText"/>
        <w:tabs>
          <w:tab w:pos="895" w:val="left" w:leader="none"/>
        </w:tabs>
        <w:spacing w:line="268" w:lineRule="auto" w:before="168"/>
        <w:ind w:left="895" w:right="53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budget models for public health programs with $90 million in</w:t>
      </w:r>
      <w:r>
        <w:rPr>
          <w:spacing w:val="40"/>
          <w:w w:val="105"/>
        </w:rPr>
        <w:t> </w:t>
      </w:r>
      <w:r>
        <w:rPr>
          <w:w w:val="105"/>
        </w:rPr>
        <w:t>combined federal, state, and grant funds, tracking spending across</w:t>
      </w:r>
      <w:r>
        <w:rPr>
          <w:spacing w:val="40"/>
          <w:w w:val="105"/>
        </w:rPr>
        <w:t> </w:t>
      </w:r>
      <w:r>
        <w:rPr>
          <w:w w:val="105"/>
        </w:rPr>
        <w:t>multiple fund sources against program deliverables</w:t>
      </w:r>
    </w:p>
    <w:p>
      <w:pPr>
        <w:pStyle w:val="BodyText"/>
        <w:tabs>
          <w:tab w:pos="895" w:val="left" w:leader="none"/>
        </w:tabs>
        <w:spacing w:line="268" w:lineRule="auto" w:before="100"/>
        <w:ind w:left="895" w:right="777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 with HR and procurement to streamline vendor and staffing costs, identifying $2.1 million in annualized savings through contract restructuring and position vacancy analysis</w:t>
      </w:r>
    </w:p>
    <w:p>
      <w:pPr>
        <w:pStyle w:val="BodyText"/>
        <w:tabs>
          <w:tab w:pos="895" w:val="left" w:leader="none"/>
        </w:tabs>
        <w:spacing w:line="278" w:lineRule="auto" w:before="84"/>
        <w:ind w:left="895" w:right="81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 annual budget presentations to legislators and public stakeholders, providing clear summaries of program outcomes, cost-effectiveness, and forward-year funding needs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0" w:left="425" w:right="0"/>
          <w:cols w:num="2" w:equalWidth="0">
            <w:col w:w="3377" w:space="436"/>
            <w:col w:w="7682"/>
          </w:cols>
        </w:sectPr>
      </w:pP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10382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382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523862" y="5286374"/>
                            <a:ext cx="47625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38475">
                                <a:moveTo>
                                  <a:pt x="47625" y="3011322"/>
                                </a:moveTo>
                                <a:lnTo>
                                  <a:pt x="27165" y="2990850"/>
                                </a:lnTo>
                                <a:lnTo>
                                  <a:pt x="20472" y="2990850"/>
                                </a:lnTo>
                                <a:lnTo>
                                  <a:pt x="0" y="3011322"/>
                                </a:lnTo>
                                <a:lnTo>
                                  <a:pt x="0" y="3014891"/>
                                </a:lnTo>
                                <a:lnTo>
                                  <a:pt x="0" y="3018015"/>
                                </a:lnTo>
                                <a:lnTo>
                                  <a:pt x="20472" y="3038475"/>
                                </a:lnTo>
                                <a:lnTo>
                                  <a:pt x="27165" y="3038475"/>
                                </a:lnTo>
                                <a:lnTo>
                                  <a:pt x="47625" y="3018015"/>
                                </a:lnTo>
                                <a:lnTo>
                                  <a:pt x="47625" y="3011322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1239659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59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59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3038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5200" id="docshapegroup2" coordorigin="0,0" coordsize="4050,16860">
                <v:shape style="position:absolute;left:0;top:0;width:4050;height:16860" id="docshape3" coordorigin="0,0" coordsize="4050,16860" path="m4050,7920l0,7920,0,16350,0,16860,4050,16860,4050,16350,4050,7920xm4050,4680l0,4680,0,7440,4050,7440,4050,4680xm4050,0l0,0,0,4110,0,4200,4050,4200,4050,4110,4050,0xe" filled="true" fillcolor="#954a4a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47;width:256;height:226" type="#_x0000_t75" id="docshape9" stroked="false">
                  <v:imagedata r:id="rId12" o:title=""/>
                </v:shape>
                <v:shape style="position:absolute;left:825;top:6585;width:255;height:255" type="#_x0000_t75" id="docshape10" stroked="false">
                  <v:imagedata r:id="rId13" o:title=""/>
                </v:shape>
                <v:shape style="position:absolute;left:824;top:8325;width:75;height:4785" id="docshape11" coordorigin="825,8325" coordsize="75,4785" path="m900,13067l899,13062,895,13053,893,13049,886,13042,882,13040,873,13036,868,13035,857,13035,852,13036,843,13040,839,13042,832,13049,830,13053,826,13062,825,13067,825,13073,825,13078,826,13083,830,13092,832,13096,839,13103,843,13105,852,13109,857,13110,868,13110,873,13109,882,13105,886,13103,893,13096,895,13092,899,13083,900,13078,900,13067xm900,12512l899,12507,895,12498,893,12494,886,12487,882,12485,873,12481,868,12480,857,12480,852,12481,843,12485,839,12487,832,12494,830,12498,826,12507,825,12512,825,12518,825,12523,826,12528,830,12537,832,12541,839,12548,843,12550,852,12554,857,12555,868,12555,873,12554,882,12550,886,12548,893,12541,895,12537,899,12528,900,12523,900,12512xm900,11957l899,11952,895,11943,893,11939,886,11932,882,11930,873,11926,868,11925,857,11925,852,11926,843,11930,839,11932,832,11939,830,11943,826,11952,825,11957,825,11963,825,11968,826,11973,830,11982,832,11986,839,11993,843,11995,852,11999,857,12000,868,12000,873,11999,882,11995,886,11993,893,11986,895,11982,899,11973,900,11968,900,11957xm900,11402l899,11397,895,11388,893,11384,886,11377,882,11375,873,11371,868,11370,857,11370,852,11371,843,11375,839,11377,832,11384,830,11388,826,11397,825,11402,825,11408,825,11413,826,11418,830,11427,832,11431,839,11438,843,11440,852,11444,857,11445,868,11445,873,11444,882,11440,886,11438,893,11431,895,11427,899,11418,900,11413,900,11402xm900,10832l899,10827,895,10818,893,10814,886,10807,882,10805,873,10801,868,10800,857,10800,852,10801,843,10805,839,10807,832,10814,830,10818,826,10827,825,10832,825,10838,825,10843,826,10848,830,10857,832,10861,839,10868,843,10870,852,10874,857,10875,868,10875,873,10874,882,10870,886,10868,893,10861,895,10857,899,10848,900,10843,900,10832xm900,10277l899,10272,895,10263,893,10259,886,10252,882,10250,873,10246,868,10245,857,10245,852,10246,843,10250,839,10252,832,10259,830,10263,826,10272,825,10277,825,10283,825,10288,826,10293,830,10302,832,10306,839,10313,843,10315,852,10319,857,10320,868,10320,873,10319,882,10315,886,10313,893,10306,895,10302,899,10293,900,10288,900,10277xm900,9722l899,9717,895,9708,893,9704,886,9697,882,9695,873,9691,868,9690,857,9690,852,9691,843,9695,839,9697,832,9704,830,9708,826,9717,825,9722,825,9728,825,9733,826,9738,830,9747,832,9751,839,9758,843,9760,852,9764,857,9765,868,9765,873,9764,882,9760,886,9758,893,9751,895,9747,899,9738,900,9733,900,9722xm900,9152l899,9147,895,9138,893,9134,886,9127,882,9125,873,9121,868,9120,857,9120,852,9121,843,9125,839,9127,832,9134,830,9138,826,9147,825,9152,825,9158,825,9163,826,9168,830,9177,832,9181,839,9188,843,9190,852,9194,857,9195,868,9195,873,9194,882,9190,886,9188,893,9181,895,9177,899,9168,900,9163,900,9152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954A4A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954a4a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3927"/>
      </w:pPr>
      <w:r>
        <w:rPr>
          <w:w w:val="105"/>
        </w:rPr>
        <w:t>Master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Public</w:t>
      </w:r>
      <w:r>
        <w:rPr>
          <w:spacing w:val="1"/>
          <w:w w:val="105"/>
        </w:rPr>
        <w:t> </w:t>
      </w:r>
      <w:r>
        <w:rPr>
          <w:w w:val="105"/>
        </w:rPr>
        <w:t>Administration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(MPA)</w:t>
      </w:r>
    </w:p>
    <w:p>
      <w:pPr>
        <w:pStyle w:val="BodyText"/>
        <w:spacing w:before="78"/>
        <w:ind w:left="392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w w:val="105"/>
        </w:rPr>
        <w:t>Colorado,</w:t>
      </w:r>
      <w:r>
        <w:rPr>
          <w:spacing w:val="8"/>
          <w:w w:val="105"/>
        </w:rPr>
        <w:t> </w:t>
      </w:r>
      <w:r>
        <w:rPr>
          <w:w w:val="105"/>
        </w:rPr>
        <w:t>Denver,</w:t>
      </w:r>
      <w:r>
        <w:rPr>
          <w:spacing w:val="7"/>
          <w:w w:val="105"/>
        </w:rPr>
        <w:t> </w:t>
      </w:r>
      <w:r>
        <w:rPr>
          <w:w w:val="105"/>
        </w:rPr>
        <w:t>CO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5717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1750" h="10706100">
                              <a:moveTo>
                                <a:pt x="25717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571737" y="10706087"/>
                              </a:lnTo>
                              <a:lnTo>
                                <a:pt x="2571737" y="8096250"/>
                              </a:lnTo>
                              <a:lnTo>
                                <a:pt x="2571737" y="2609850"/>
                              </a:lnTo>
                              <a:lnTo>
                                <a:pt x="2571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5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202.5pt;height:843pt;mso-position-horizontal-relative:page;mso-position-vertical-relative:page;z-index:15730176" id="docshape13" coordorigin="0,0" coordsize="4050,16860" path="m4050,0l0,0,0,4110,0,12750,0,16860,4050,16860,4050,12750,4050,4110,4050,0xe" filled="true" fillcolor="#954a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ind w:left="3927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Economics</w:t>
      </w:r>
    </w:p>
    <w:p>
      <w:pPr>
        <w:pStyle w:val="BodyText"/>
        <w:spacing w:before="78"/>
        <w:ind w:left="3927"/>
      </w:pPr>
      <w:r>
        <w:rPr/>
        <w:t>Colorado</w:t>
      </w:r>
      <w:r>
        <w:rPr>
          <w:spacing w:val="31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Fort</w:t>
      </w:r>
      <w:r>
        <w:rPr>
          <w:spacing w:val="32"/>
        </w:rPr>
        <w:t> </w:t>
      </w:r>
      <w:r>
        <w:rPr/>
        <w:t>Collins,</w:t>
      </w:r>
      <w:r>
        <w:rPr>
          <w:spacing w:val="31"/>
        </w:rPr>
        <w:t> </w:t>
      </w:r>
      <w:r>
        <w:rPr/>
        <w:t>CO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May</w:t>
      </w:r>
      <w:r>
        <w:rPr>
          <w:spacing w:val="32"/>
        </w:rPr>
        <w:t> </w:t>
      </w:r>
      <w:r>
        <w:rPr>
          <w:spacing w:val="-4"/>
        </w:rPr>
        <w:t>2012</w:t>
      </w:r>
    </w:p>
    <w:sectPr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2026-03-12T15:04:11Z</dcterms:created>
  <dcterms:modified xsi:type="dcterms:W3CDTF">2026-03-12T15:04:11Z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