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48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Riley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10"/>
          <w:sz w:val="78"/>
        </w:rPr>
        <w:t>Anderson</w:t>
      </w:r>
    </w:p>
    <w:p>
      <w:pPr>
        <w:pStyle w:val="Heading2"/>
      </w:pPr>
      <w:r>
        <w:rPr>
          <w:color w:val="FFFFFF"/>
        </w:rPr>
        <w:t>Accounts Receivable Credit Control </w:t>
      </w:r>
      <w:r>
        <w:rPr>
          <w:color w:val="FFFFFF"/>
          <w:spacing w:val="-2"/>
        </w:rPr>
        <w:t>Specialist</w:t>
      </w:r>
    </w:p>
    <w:p>
      <w:pPr>
        <w:spacing w:line="273" w:lineRule="auto" w:before="199"/>
        <w:ind w:left="448" w:right="629" w:firstLine="0"/>
        <w:jc w:val="left"/>
        <w:rPr>
          <w:sz w:val="16"/>
        </w:rPr>
      </w:pPr>
      <w:r>
        <w:rPr>
          <w:color w:val="FFFFFF"/>
          <w:w w:val="105"/>
          <w:sz w:val="16"/>
        </w:rPr>
        <w:t>Strategic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accounts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receivable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credit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control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12+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assessing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creditworthiness,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managing credit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limits,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bad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debt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exposure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institutions.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credit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risk-tiered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collections strategy,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credit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policy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frameworks.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establishing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credit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terms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clients,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monitoring high-value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accounts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proactively,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aging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reports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senior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decisions.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425" w:right="425"/>
        </w:sectPr>
      </w:pPr>
    </w:p>
    <w:p>
      <w:pPr>
        <w:pStyle w:val="BodyText"/>
        <w:spacing w:before="227"/>
        <w:rPr>
          <w:sz w:val="24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  <w:r>
        <w:rPr>
          <w:smallCaps/>
          <w:color w:val="F5F5F5"/>
          <w:spacing w:val="-15"/>
        </w:rPr>
        <w:t> </w:t>
      </w:r>
      <w:r>
        <w:rPr>
          <w:smallCaps/>
          <w:color w:val="F5F5F5"/>
          <w:spacing w:val="-4"/>
        </w:rPr>
        <w:t>Information</w:t>
      </w:r>
    </w:p>
    <w:p>
      <w:pPr>
        <w:spacing w:before="53"/>
        <w:ind w:left="5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mallCaps/>
          <w:color w:val="45818F"/>
          <w:spacing w:val="-2"/>
          <w:sz w:val="31"/>
        </w:rPr>
        <w:t>Professional Experience</w:t>
      </w:r>
    </w:p>
    <w:p>
      <w:pPr>
        <w:pStyle w:val="BodyText"/>
        <w:spacing w:before="3"/>
        <w:rPr>
          <w:b/>
          <w:sz w:val="24"/>
        </w:rPr>
      </w:pPr>
    </w:p>
    <w:p>
      <w:pPr>
        <w:pStyle w:val="BodyText"/>
        <w:spacing w:line="268" w:lineRule="auto"/>
        <w:ind w:left="170"/>
      </w:pPr>
      <w:r>
        <w:rPr>
          <w:w w:val="105"/>
        </w:rPr>
        <w:t>Accounts Receivable Credit Control Specialist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Bank of America , Charlotte, NC February 2015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425" w:right="425"/>
          <w:cols w:num="2" w:equalWidth="0">
            <w:col w:w="3128" w:space="704"/>
            <w:col w:w="7238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0"/>
      </w:pPr>
    </w:p>
    <w:p>
      <w:pPr>
        <w:pStyle w:val="BodyText"/>
        <w:spacing w:line="609" w:lineRule="auto" w:before="1"/>
        <w:ind w:left="597" w:right="120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Charlotte, NC</w:t>
      </w:r>
    </w:p>
    <w:p>
      <w:pPr>
        <w:pStyle w:val="Heading1"/>
        <w:spacing w:before="116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08"/>
        <w:rPr>
          <w:b/>
          <w:sz w:val="24"/>
        </w:rPr>
      </w:pPr>
    </w:p>
    <w:p>
      <w:pPr>
        <w:spacing w:line="273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Accounting University of North Carolina, Charlotte, </w:t>
      </w:r>
      <w:r>
        <w:rPr>
          <w:color w:val="424242"/>
          <w:spacing w:val="-6"/>
          <w:w w:val="105"/>
          <w:sz w:val="16"/>
        </w:rPr>
        <w:t>NC</w:t>
      </w:r>
    </w:p>
    <w:p>
      <w:pPr>
        <w:spacing w:before="1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June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2011</w:t>
      </w:r>
    </w:p>
    <w:p>
      <w:pPr>
        <w:pStyle w:val="BodyText"/>
        <w:spacing w:before="127"/>
        <w:rPr>
          <w:sz w:val="16"/>
        </w:rPr>
      </w:pPr>
    </w:p>
    <w:p>
      <w:pPr>
        <w:spacing w:line="273" w:lineRule="auto" w:before="0"/>
        <w:ind w:left="170" w:right="12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Economics Appalachian State University, Boone, </w:t>
      </w:r>
      <w:r>
        <w:rPr>
          <w:color w:val="424242"/>
          <w:spacing w:val="-6"/>
          <w:w w:val="105"/>
          <w:sz w:val="16"/>
        </w:rPr>
        <w:t>NC</w:t>
      </w:r>
    </w:p>
    <w:p>
      <w:pPr>
        <w:spacing w:before="1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June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2009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90" w:after="0"/>
        <w:ind w:left="355" w:right="162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Reduced bad debt write-offs by 15% over 3 years through proactive credit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intervention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showing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payment</w:t>
      </w:r>
    </w:p>
    <w:p>
      <w:pPr>
        <w:pStyle w:val="BodyText"/>
        <w:spacing w:before="39"/>
        <w:ind w:left="355"/>
      </w:pPr>
      <w:r>
        <w:rPr>
          <w:w w:val="105"/>
        </w:rPr>
        <w:t>deterioration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signals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4" w:after="0"/>
        <w:ind w:left="355" w:right="252" w:hanging="298"/>
        <w:jc w:val="left"/>
        <w:rPr>
          <w:position w:val="-4"/>
          <w:sz w:val="31"/>
        </w:rPr>
      </w:pPr>
      <w:r>
        <w:rPr>
          <w:w w:val="105"/>
          <w:sz w:val="18"/>
        </w:rPr>
        <w:t>Established credit terms for 50+ new clients annually, applying risk-tiered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assessment criteria that reduced first-year payment defaults by 20%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9" w:after="0"/>
        <w:ind w:left="355" w:right="128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credit exposure for a portfolio of 200+ high-value accounts,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conducting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credit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adjusting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limits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payment</w:t>
      </w:r>
    </w:p>
    <w:p>
      <w:pPr>
        <w:pStyle w:val="BodyText"/>
        <w:spacing w:before="41"/>
        <w:ind w:left="355"/>
      </w:pPr>
      <w:r>
        <w:rPr>
          <w:w w:val="105"/>
        </w:rPr>
        <w:t>history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financial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health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2" w:after="0"/>
        <w:ind w:left="355" w:right="197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Prepared monthly aging and credit exposure reports for the CFO and Risk Committee,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account-level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commentary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recommended</w:t>
      </w:r>
    </w:p>
    <w:p>
      <w:pPr>
        <w:pStyle w:val="BodyText"/>
        <w:spacing w:before="41"/>
        <w:ind w:left="355"/>
      </w:pPr>
      <w:r>
        <w:rPr>
          <w:w w:val="105"/>
        </w:rPr>
        <w:t>action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plans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5" w:after="0"/>
        <w:ind w:left="355" w:right="143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collections team to develop risk-aligned outreach sequences,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days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contact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high-risk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45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</w:p>
    <w:p>
      <w:pPr>
        <w:pStyle w:val="BodyText"/>
        <w:spacing w:before="40"/>
        <w:ind w:left="355"/>
      </w:pPr>
      <w:r>
        <w:rPr>
          <w:w w:val="105"/>
        </w:rPr>
        <w:t>20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days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4" w:after="0"/>
        <w:ind w:left="355" w:right="376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100% compliance with internal credit policy frameworks and regulatory requirements across 9-year tenure with zero policy violations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820" w:bottom="280" w:left="425" w:right="425"/>
          <w:cols w:num="2" w:equalWidth="0">
            <w:col w:w="3166" w:space="945"/>
            <w:col w:w="6959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20" w:bottom="280" w:left="425" w:right="425"/>
        </w:sectPr>
      </w:pPr>
    </w:p>
    <w:p>
      <w:pPr>
        <w:pStyle w:val="BodyText"/>
        <w:spacing w:before="6"/>
        <w:rPr>
          <w:sz w:val="24"/>
        </w:rPr>
      </w:pPr>
    </w:p>
    <w:p>
      <w:pPr>
        <w:pStyle w:val="Heading1"/>
        <w:spacing w:line="335" w:lineRule="exact"/>
      </w:pPr>
      <w:r>
        <w:rPr>
          <w:smallCaps/>
          <w:color w:val="F5F5F5"/>
        </w:rPr>
        <w:t>Key</w:t>
      </w:r>
      <w:r>
        <w:rPr>
          <w:smallCaps/>
          <w:color w:val="F5F5F5"/>
          <w:spacing w:val="4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line="268" w:lineRule="auto" w:before="78"/>
        <w:ind w:left="58" w:right="2086"/>
      </w:pPr>
      <w:r>
        <w:rPr/>
        <w:br w:type="column"/>
      </w:r>
      <w:r>
        <w:rPr>
          <w:w w:val="105"/>
        </w:rPr>
        <w:t>Accounts Receivable Clerk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Duke Energy , Charlotte, NC July 2011 – January 2015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425" w:right="425"/>
          <w:cols w:num="2" w:equalWidth="0">
            <w:col w:w="1626" w:space="2317"/>
            <w:col w:w="7127"/>
          </w:cols>
        </w:sectPr>
      </w:pPr>
    </w:p>
    <w:p>
      <w:pPr>
        <w:pStyle w:val="BodyText"/>
        <w:spacing w:before="182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0" w:after="0"/>
        <w:ind w:left="467" w:right="526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Credit analysis and client creditworthiness assessment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9" w:lineRule="auto" w:before="100" w:after="0"/>
        <w:ind w:left="46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6"/>
        </w:rPr>
        <w:t>Credit limit management and policy </w:t>
      </w:r>
      <w:r>
        <w:rPr>
          <w:color w:val="424242"/>
          <w:spacing w:val="-2"/>
          <w:w w:val="105"/>
          <w:sz w:val="16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8" w:after="0"/>
        <w:ind w:left="467" w:right="299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Risk management and bad debt reduction strategy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429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Collections strategy aligned to credit risk tiers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9" w:lineRule="auto" w:before="51" w:after="0"/>
        <w:ind w:left="467" w:right="21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Monitored payments for 50+ high-value accounts, identifying delinquency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patterns 30 days earlier through weekly aging reviews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1" w:lineRule="auto" w:before="98" w:after="0"/>
        <w:ind w:left="467" w:right="263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Prepared monthly aging reports for management, providing 30/60/90-day breakdowns with account-level commentary on at-risk balances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4" w:lineRule="auto" w:before="78" w:after="0"/>
        <w:ind w:left="467" w:right="326" w:hanging="298"/>
        <w:jc w:val="left"/>
        <w:rPr>
          <w:position w:val="-2"/>
          <w:sz w:val="31"/>
        </w:rPr>
      </w:pPr>
      <w:r>
        <w:rPr>
          <w:w w:val="105"/>
          <w:sz w:val="18"/>
        </w:rPr>
        <w:t>Processed 300+ monthly payments with 98% accuracy, maintaining zero misapplied payments at month-end across 4-year tenure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9" w:lineRule="auto" w:before="107" w:after="0"/>
        <w:ind w:left="467" w:right="449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credit control manager with 20+ client credit reviews annually, compiling payment history data and financial documentation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820" w:bottom="280" w:left="425" w:right="425"/>
          <w:cols w:num="2" w:equalWidth="0">
            <w:col w:w="3232" w:space="767"/>
            <w:col w:w="7071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38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Aging report preparation and high-value account monitoring</w:t>
      </w:r>
    </w:p>
    <w:p>
      <w:pPr>
        <w:pStyle w:val="Heading1"/>
        <w:spacing w:before="119"/>
        <w:ind w:left="170"/>
      </w:pPr>
      <w:r>
        <w:rPr>
          <w:b w:val="0"/>
        </w:rPr>
        <w:br w:type="column"/>
      </w:r>
      <w:r>
        <w:rPr>
          <w:smallCaps/>
          <w:color w:val="45818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20" w:bottom="280" w:left="425" w:right="425"/>
          <w:cols w:num="2" w:equalWidth="0">
            <w:col w:w="3168" w:space="552"/>
            <w:col w:w="7350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72" w:hanging="298"/>
        <w:jc w:val="left"/>
        <w:rPr>
          <w:color w:val="424242"/>
          <w:position w:val="-5"/>
          <w:sz w:val="31"/>
        </w:rPr>
      </w:pPr>
      <w:r>
        <w:rPr>
          <w:position w:val="-5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705974"/>
                            <a:ext cx="2266950" cy="100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000125">
                                <a:moveTo>
                                  <a:pt x="0" y="1000124"/>
                                </a:moveTo>
                                <a:lnTo>
                                  <a:pt x="2266949" y="10001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0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C2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09849"/>
                            <a:ext cx="2266950" cy="7096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096125">
                                <a:moveTo>
                                  <a:pt x="2266950" y="4324350"/>
                                </a:moveTo>
                                <a:lnTo>
                                  <a:pt x="0" y="4324350"/>
                                </a:lnTo>
                                <a:lnTo>
                                  <a:pt x="0" y="7096125"/>
                                </a:lnTo>
                                <a:lnTo>
                                  <a:pt x="2266950" y="7096125"/>
                                </a:lnTo>
                                <a:lnTo>
                                  <a:pt x="2266950" y="4324350"/>
                                </a:lnTo>
                                <a:close/>
                              </a:path>
                              <a:path w="2266950" h="7096125">
                                <a:moveTo>
                                  <a:pt x="2266950" y="2352675"/>
                                </a:moveTo>
                                <a:lnTo>
                                  <a:pt x="0" y="2352675"/>
                                </a:lnTo>
                                <a:lnTo>
                                  <a:pt x="0" y="3914775"/>
                                </a:lnTo>
                                <a:lnTo>
                                  <a:pt x="2266950" y="3914775"/>
                                </a:lnTo>
                                <a:lnTo>
                                  <a:pt x="2266950" y="2352675"/>
                                </a:lnTo>
                                <a:close/>
                              </a:path>
                              <a:path w="2266950" h="7096125">
                                <a:moveTo>
                                  <a:pt x="2266950" y="800100"/>
                                </a:moveTo>
                                <a:lnTo>
                                  <a:pt x="0" y="800100"/>
                                </a:lnTo>
                                <a:lnTo>
                                  <a:pt x="0" y="1952625"/>
                                </a:lnTo>
                                <a:lnTo>
                                  <a:pt x="2266950" y="1952625"/>
                                </a:lnTo>
                                <a:lnTo>
                                  <a:pt x="2266950" y="800100"/>
                                </a:lnTo>
                                <a:close/>
                              </a:path>
                              <a:path w="2266950" h="70961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C2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0989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29493" y="3407473"/>
                            <a:ext cx="123189" cy="252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252729">
                                <a:moveTo>
                                  <a:pt x="0" y="252602"/>
                                </a:moveTo>
                                <a:lnTo>
                                  <a:pt x="0" y="0"/>
                                </a:lnTo>
                                <a:lnTo>
                                  <a:pt x="122586" y="0"/>
                                </a:lnTo>
                                <a:lnTo>
                                  <a:pt x="0" y="252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50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5432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867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2100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56247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29493" y="4960048"/>
                            <a:ext cx="123189" cy="252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252729">
                                <a:moveTo>
                                  <a:pt x="0" y="252602"/>
                                </a:moveTo>
                                <a:lnTo>
                                  <a:pt x="0" y="0"/>
                                </a:lnTo>
                                <a:lnTo>
                                  <a:pt x="122586" y="0"/>
                                </a:lnTo>
                                <a:lnTo>
                                  <a:pt x="0" y="252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50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6524624"/>
                            <a:ext cx="255270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9575">
                                <a:moveTo>
                                  <a:pt x="255269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29493" y="6931722"/>
                            <a:ext cx="123189" cy="252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252729">
                                <a:moveTo>
                                  <a:pt x="0" y="252602"/>
                                </a:moveTo>
                                <a:lnTo>
                                  <a:pt x="0" y="0"/>
                                </a:lnTo>
                                <a:lnTo>
                                  <a:pt x="122586" y="0"/>
                                </a:lnTo>
                                <a:lnTo>
                                  <a:pt x="0" y="252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50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rect style="position:absolute;left:255;top:15285;width:3570;height:1575" id="docshape2" filled="true" fillcolor="#a2c2c7" stroked="false">
                  <v:fill type="solid"/>
                </v:rect>
                <v:rect style="position:absolute;left:0;top:0;width:11919;height:4110" id="docshape3" filled="true" fillcolor="#424242" stroked="false">
                  <v:fill type="solid"/>
                </v:rect>
                <v:shape style="position:absolute;left:254;top:4110;width:3570;height:11175" id="docshape4" coordorigin="255,4110" coordsize="3570,11175" path="m3825,10920l255,10920,255,15285,3825,15285,3825,10920xm3825,7815l255,7815,255,10275,3825,10275,3825,7815xm3825,5370l255,5370,255,7185,3825,7185,3825,5370xm3825,4110l255,4110,255,4740,3825,4740,3825,4110xe" filled="true" fillcolor="#a2c2c7" stroked="false">
                  <v:path arrowok="t"/>
                  <v:fill type="solid"/>
                </v:shape>
                <v:rect style="position:absolute;left:0;top:4740;width:4020;height:630" id="docshape5" filled="true" fillcolor="#45818f" stroked="false">
                  <v:fill type="solid"/>
                </v:rect>
                <v:shape style="position:absolute;left:3825;top:5366;width:194;height:398" id="docshape6" coordorigin="3826,5366" coordsize="194,398" path="m3826,5764l3826,5366,4019,5366,3826,5764xe" filled="true" fillcolor="#12505d" stroked="false">
                  <v:path arrowok="t"/>
                  <v:fill type="solid"/>
                </v:shape>
                <v:shape style="position:absolute;left:600;top:5580;width:255;height:255" type="#_x0000_t75" id="docshape7" stroked="false">
                  <v:imagedata r:id="rId6" o:title=""/>
                </v:shape>
                <v:shape style="position:absolute;left:600;top:6090;width:255;height:300" type="#_x0000_t75" id="docshape8" stroked="false">
                  <v:imagedata r:id="rId7" o:title=""/>
                </v:shape>
                <v:shape style="position:absolute;left:600;top:6630;width:255;height:255" type="#_x0000_t75" id="docshape9" stroked="false">
                  <v:imagedata r:id="rId8" o:title=""/>
                </v:shape>
                <v:rect style="position:absolute;left:0;top:7185;width:4020;height:630" id="docshape10" filled="true" fillcolor="#45818f" stroked="false">
                  <v:fill type="solid"/>
                </v:rect>
                <v:shape style="position:absolute;left:3825;top:7811;width:194;height:398" id="docshape11" coordorigin="3826,7811" coordsize="194,398" path="m3826,8209l3826,7811,4019,7811,3826,8209xe" filled="true" fillcolor="#12505d" stroked="false">
                  <v:path arrowok="t"/>
                  <v:fill type="solid"/>
                </v:shape>
                <v:rect style="position:absolute;left:0;top:10275;width:4020;height:645" id="docshape12" filled="true" fillcolor="#45818f" stroked="false">
                  <v:fill type="solid"/>
                </v:rect>
                <v:shape style="position:absolute;left:3825;top:10916;width:194;height:398" id="docshape13" coordorigin="3826,10916" coordsize="194,398" path="m3826,11314l3826,10916,4019,10916,3826,11314xe" filled="true" fillcolor="#12505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Accounts receivable payment tracking and posting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00" w:after="0"/>
        <w:ind w:left="467" w:right="38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FDCPA and credit compliance </w:t>
      </w:r>
      <w:r>
        <w:rPr>
          <w:color w:val="424242"/>
          <w:spacing w:val="-2"/>
          <w:w w:val="105"/>
          <w:sz w:val="16"/>
        </w:rPr>
        <w:t>regulations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40" w:lineRule="auto" w:before="169" w:after="0"/>
        <w:ind w:left="46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Credit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(CBA)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NACM,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sectPr>
      <w:type w:val="continuous"/>
      <w:pgSz w:w="11920" w:h="16860"/>
      <w:pgMar w:top="820" w:bottom="280" w:left="425" w:right="425"/>
      <w:cols w:num="2" w:equalWidth="0">
        <w:col w:w="2815" w:space="1016"/>
        <w:col w:w="72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8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1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467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2026-03-22T00:58:57Z</dcterms:created>
  <dcterms:modified xsi:type="dcterms:W3CDTF">2026-03-22T00:58:57Z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