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"/>
        <w:rPr>
          <w:rFonts w:ascii="Times New Roman"/>
          <w:sz w:val="74"/>
        </w:rPr>
      </w:pPr>
    </w:p>
    <w:p>
      <w:pPr>
        <w:spacing w:before="0"/>
        <w:ind w:left="4415" w:right="0" w:firstLine="0"/>
        <w:jc w:val="left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533399</wp:posOffset>
                </wp:positionH>
                <wp:positionV relativeFrom="paragraph">
                  <wp:posOffset>-578185</wp:posOffset>
                </wp:positionV>
                <wp:extent cx="1533525" cy="1562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33525" cy="1562100"/>
                        </a:xfrm>
                        <a:prstGeom prst="rect">
                          <a:avLst/>
                        </a:prstGeom>
                        <a:solidFill>
                          <a:srgbClr val="FAE4CC"/>
                        </a:solidFill>
                      </wps:spPr>
                      <wps:txbx>
                        <w:txbxContent>
                          <w:p>
                            <w:pPr>
                              <w:spacing w:before="731"/>
                              <w:ind w:left="668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588981"/>
                                <w:spacing w:val="-5"/>
                                <w:sz w:val="74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1.999996pt;margin-top:-45.526386pt;width:120.75pt;height:123pt;mso-position-horizontal-relative:page;mso-position-vertical-relative:paragraph;z-index:15729152" type="#_x0000_t202" id="docshape1" filled="true" fillcolor="#fae4cc" stroked="false">
                <v:textbox inset="0,0,0,0">
                  <w:txbxContent>
                    <w:p>
                      <w:pPr>
                        <w:spacing w:before="731"/>
                        <w:ind w:left="668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588981"/>
                          <w:spacing w:val="-5"/>
                          <w:sz w:val="74"/>
                        </w:rPr>
                        <w:t>AB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74"/>
        </w:rPr>
        <w:t>Alex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9"/>
          <w:sz w:val="74"/>
        </w:rPr>
        <w:t>Brown</w:t>
      </w:r>
    </w:p>
    <w:p>
      <w:pPr>
        <w:pStyle w:val="Heading2"/>
      </w:pPr>
      <w:r>
        <w:rPr>
          <w:color w:val="FFFFFF"/>
          <w:w w:val="105"/>
        </w:rPr>
        <w:t>Tax</w:t>
      </w:r>
      <w:r>
        <w:rPr>
          <w:color w:val="FFFFFF"/>
          <w:spacing w:val="30"/>
          <w:w w:val="105"/>
        </w:rPr>
        <w:t> </w:t>
      </w:r>
      <w:r>
        <w:rPr>
          <w:color w:val="FFFFFF"/>
          <w:spacing w:val="10"/>
          <w:w w:val="105"/>
        </w:rPr>
        <w:t>Attorney</w:t>
      </w:r>
    </w:p>
    <w:p>
      <w:pPr>
        <w:pStyle w:val="BodyText"/>
        <w:spacing w:before="21"/>
        <w:rPr>
          <w:b/>
        </w:rPr>
      </w:pPr>
    </w:p>
    <w:p>
      <w:pPr>
        <w:pStyle w:val="BodyText"/>
        <w:spacing w:line="271" w:lineRule="auto"/>
        <w:ind w:left="4415" w:right="14"/>
      </w:pPr>
      <w:r>
        <w:rPr>
          <w:color w:val="FFFFFF"/>
          <w:w w:val="105"/>
        </w:rPr>
        <w:t>Strategic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tax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attorney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7+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advising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corporate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individual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tax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matters including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IRS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controversies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multi-state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planning.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Achieved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zero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tax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adjustments in 80% of 50 IRS audit representations, structured $500M in cross-border transactions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effective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tax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rates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up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5%,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helped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clients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save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$10M+ through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state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tax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credit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incentive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analysis.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audit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representation,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tax-efﬁcient structuring, and cross-border compliance.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141" w:right="283"/>
        </w:sectPr>
      </w:pPr>
    </w:p>
    <w:p>
      <w:pPr>
        <w:pStyle w:val="Heading1"/>
        <w:spacing w:before="31"/>
      </w:pPr>
      <w:r>
        <w:rPr>
          <w:color w:val="588981"/>
          <w:sz w:val="44"/>
        </w:rPr>
        <w:t>C</w:t>
      </w:r>
      <w:r>
        <w:rPr>
          <w:color w:val="588981"/>
        </w:rPr>
        <w:t>ONTACT</w:t>
      </w:r>
      <w:r>
        <w:rPr>
          <w:color w:val="588981"/>
          <w:spacing w:val="-17"/>
        </w:rPr>
        <w:t> </w:t>
      </w:r>
      <w:r>
        <w:rPr>
          <w:color w:val="588981"/>
          <w:spacing w:val="-2"/>
        </w:rPr>
        <w:t>INFORMATION</w:t>
      </w:r>
    </w:p>
    <w:p>
      <w:pPr>
        <w:spacing w:before="76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588981"/>
          <w:sz w:val="44"/>
        </w:rPr>
        <w:t>P</w:t>
      </w:r>
      <w:r>
        <w:rPr>
          <w:b/>
          <w:color w:val="588981"/>
          <w:sz w:val="26"/>
        </w:rPr>
        <w:t>ROFESSIONAL</w:t>
      </w:r>
      <w:r>
        <w:rPr>
          <w:b/>
          <w:color w:val="588981"/>
          <w:spacing w:val="-4"/>
          <w:sz w:val="26"/>
        </w:rPr>
        <w:t> </w:t>
      </w:r>
      <w:r>
        <w:rPr>
          <w:b/>
          <w:color w:val="588981"/>
          <w:spacing w:val="-2"/>
          <w:sz w:val="26"/>
        </w:rPr>
        <w:t>EXPERIENCE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20" w:h="16860"/>
          <w:pgMar w:top="0" w:bottom="280" w:left="141" w:right="283"/>
          <w:cols w:num="2" w:equalWidth="0">
            <w:col w:w="3419" w:space="1007"/>
            <w:col w:w="7070"/>
          </w:cols>
        </w:sectPr>
      </w:pPr>
    </w:p>
    <w:p>
      <w:pPr>
        <w:pStyle w:val="BodyText"/>
        <w:spacing w:before="49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280" w:left="141" w:right="283"/>
        </w:sectPr>
      </w:pPr>
    </w:p>
    <w:p>
      <w:pPr>
        <w:pStyle w:val="BodyText"/>
        <w:spacing w:before="138"/>
        <w:ind w:left="4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794000" y="5308599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809874" y="2724149"/>
                            <a:ext cx="4758690" cy="729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7296150">
                                <a:moveTo>
                                  <a:pt x="4758308" y="7296149"/>
                                </a:moveTo>
                                <a:lnTo>
                                  <a:pt x="0" y="72961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7296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133712" y="3971924"/>
                            <a:ext cx="47625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276850">
                                <a:moveTo>
                                  <a:pt x="47625" y="5249684"/>
                                </a:moveTo>
                                <a:lnTo>
                                  <a:pt x="27165" y="5229225"/>
                                </a:lnTo>
                                <a:lnTo>
                                  <a:pt x="20472" y="5229225"/>
                                </a:lnTo>
                                <a:lnTo>
                                  <a:pt x="0" y="5249684"/>
                                </a:lnTo>
                                <a:lnTo>
                                  <a:pt x="0" y="5253266"/>
                                </a:lnTo>
                                <a:lnTo>
                                  <a:pt x="0" y="5256390"/>
                                </a:lnTo>
                                <a:lnTo>
                                  <a:pt x="20472" y="5276850"/>
                                </a:lnTo>
                                <a:lnTo>
                                  <a:pt x="27165" y="5276850"/>
                                </a:lnTo>
                                <a:lnTo>
                                  <a:pt x="47625" y="5256390"/>
                                </a:lnTo>
                                <a:lnTo>
                                  <a:pt x="47625" y="5249684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4744859"/>
                                </a:moveTo>
                                <a:lnTo>
                                  <a:pt x="27165" y="4724400"/>
                                </a:lnTo>
                                <a:lnTo>
                                  <a:pt x="20472" y="4724400"/>
                                </a:lnTo>
                                <a:lnTo>
                                  <a:pt x="0" y="4744859"/>
                                </a:lnTo>
                                <a:lnTo>
                                  <a:pt x="0" y="4748441"/>
                                </a:lnTo>
                                <a:lnTo>
                                  <a:pt x="0" y="4751565"/>
                                </a:lnTo>
                                <a:lnTo>
                                  <a:pt x="20472" y="4772025"/>
                                </a:lnTo>
                                <a:lnTo>
                                  <a:pt x="27165" y="4772025"/>
                                </a:lnTo>
                                <a:lnTo>
                                  <a:pt x="47625" y="4751565"/>
                                </a:lnTo>
                                <a:lnTo>
                                  <a:pt x="47625" y="4744859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4240047"/>
                                </a:moveTo>
                                <a:lnTo>
                                  <a:pt x="27165" y="4219575"/>
                                </a:lnTo>
                                <a:lnTo>
                                  <a:pt x="20472" y="4219575"/>
                                </a:lnTo>
                                <a:lnTo>
                                  <a:pt x="0" y="4240047"/>
                                </a:lnTo>
                                <a:lnTo>
                                  <a:pt x="0" y="4243616"/>
                                </a:lnTo>
                                <a:lnTo>
                                  <a:pt x="0" y="4246740"/>
                                </a:lnTo>
                                <a:lnTo>
                                  <a:pt x="20472" y="4267200"/>
                                </a:lnTo>
                                <a:lnTo>
                                  <a:pt x="27165" y="4267200"/>
                                </a:lnTo>
                                <a:lnTo>
                                  <a:pt x="47625" y="4246740"/>
                                </a:lnTo>
                                <a:lnTo>
                                  <a:pt x="47625" y="4240047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3735222"/>
                                </a:moveTo>
                                <a:lnTo>
                                  <a:pt x="27165" y="3714750"/>
                                </a:lnTo>
                                <a:lnTo>
                                  <a:pt x="20472" y="3714750"/>
                                </a:lnTo>
                                <a:lnTo>
                                  <a:pt x="0" y="3735222"/>
                                </a:lnTo>
                                <a:lnTo>
                                  <a:pt x="0" y="3738791"/>
                                </a:lnTo>
                                <a:lnTo>
                                  <a:pt x="0" y="3741915"/>
                                </a:lnTo>
                                <a:lnTo>
                                  <a:pt x="20472" y="3762375"/>
                                </a:lnTo>
                                <a:lnTo>
                                  <a:pt x="27165" y="3762375"/>
                                </a:lnTo>
                                <a:lnTo>
                                  <a:pt x="47625" y="3741915"/>
                                </a:lnTo>
                                <a:lnTo>
                                  <a:pt x="47625" y="3735222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2535072"/>
                                </a:moveTo>
                                <a:lnTo>
                                  <a:pt x="27165" y="2514600"/>
                                </a:lnTo>
                                <a:lnTo>
                                  <a:pt x="20472" y="2514600"/>
                                </a:lnTo>
                                <a:lnTo>
                                  <a:pt x="0" y="2535072"/>
                                </a:lnTo>
                                <a:lnTo>
                                  <a:pt x="0" y="2538641"/>
                                </a:lnTo>
                                <a:lnTo>
                                  <a:pt x="0" y="2541765"/>
                                </a:lnTo>
                                <a:lnTo>
                                  <a:pt x="20472" y="2562225"/>
                                </a:lnTo>
                                <a:lnTo>
                                  <a:pt x="27165" y="2562225"/>
                                </a:lnTo>
                                <a:lnTo>
                                  <a:pt x="47625" y="2541765"/>
                                </a:lnTo>
                                <a:lnTo>
                                  <a:pt x="47625" y="2535072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2030247"/>
                                </a:moveTo>
                                <a:lnTo>
                                  <a:pt x="27165" y="2009775"/>
                                </a:lnTo>
                                <a:lnTo>
                                  <a:pt x="20472" y="2009775"/>
                                </a:lnTo>
                                <a:lnTo>
                                  <a:pt x="0" y="2030247"/>
                                </a:lnTo>
                                <a:lnTo>
                                  <a:pt x="0" y="2033816"/>
                                </a:lnTo>
                                <a:lnTo>
                                  <a:pt x="0" y="2036940"/>
                                </a:lnTo>
                                <a:lnTo>
                                  <a:pt x="20472" y="2057400"/>
                                </a:lnTo>
                                <a:lnTo>
                                  <a:pt x="27165" y="2057400"/>
                                </a:lnTo>
                                <a:lnTo>
                                  <a:pt x="47625" y="2036940"/>
                                </a:lnTo>
                                <a:lnTo>
                                  <a:pt x="47625" y="2030247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1020597"/>
                                </a:moveTo>
                                <a:lnTo>
                                  <a:pt x="27165" y="1000125"/>
                                </a:lnTo>
                                <a:lnTo>
                                  <a:pt x="20472" y="1000125"/>
                                </a:lnTo>
                                <a:lnTo>
                                  <a:pt x="0" y="1020597"/>
                                </a:lnTo>
                                <a:lnTo>
                                  <a:pt x="0" y="1024166"/>
                                </a:lnTo>
                                <a:lnTo>
                                  <a:pt x="0" y="1027290"/>
                                </a:lnTo>
                                <a:lnTo>
                                  <a:pt x="20472" y="1047750"/>
                                </a:lnTo>
                                <a:lnTo>
                                  <a:pt x="27165" y="1047750"/>
                                </a:lnTo>
                                <a:lnTo>
                                  <a:pt x="47625" y="1027290"/>
                                </a:lnTo>
                                <a:lnTo>
                                  <a:pt x="47625" y="1020597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5276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00374"/>
                            <a:ext cx="2809875" cy="3629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629025">
                                <a:moveTo>
                                  <a:pt x="2809862" y="3390900"/>
                                </a:moveTo>
                                <a:lnTo>
                                  <a:pt x="0" y="3390900"/>
                                </a:lnTo>
                                <a:lnTo>
                                  <a:pt x="0" y="3629025"/>
                                </a:lnTo>
                                <a:lnTo>
                                  <a:pt x="2809862" y="3629025"/>
                                </a:lnTo>
                                <a:lnTo>
                                  <a:pt x="2809862" y="3390900"/>
                                </a:lnTo>
                                <a:close/>
                              </a:path>
                              <a:path w="2809875" h="3629025">
                                <a:moveTo>
                                  <a:pt x="2809862" y="1533525"/>
                                </a:moveTo>
                                <a:lnTo>
                                  <a:pt x="0" y="1533525"/>
                                </a:lnTo>
                                <a:lnTo>
                                  <a:pt x="0" y="1771650"/>
                                </a:lnTo>
                                <a:lnTo>
                                  <a:pt x="2809862" y="1771650"/>
                                </a:lnTo>
                                <a:lnTo>
                                  <a:pt x="2809862" y="1533525"/>
                                </a:lnTo>
                                <a:close/>
                              </a:path>
                              <a:path w="2809875" h="36290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650"/>
                                </a:lnTo>
                                <a:lnTo>
                                  <a:pt x="2809862" y="2476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7520" id="docshapegroup2" coordorigin="0,0" coordsize="11919,16858">
                <v:rect style="position:absolute;left:4400;top:8360;width:7519;height:8498" id="docshape3" filled="true" fillcolor="#f1f4f4" stroked="false">
                  <v:fill type="solid"/>
                </v:rect>
                <v:rect style="position:absolute;left:0;top:0;width:11919;height:4290" id="docshape4" filled="true" fillcolor="#588981" stroked="false">
                  <v:fill type="solid"/>
                </v:rect>
                <v:rect style="position:absolute;left:4425;top:4290;width:7494;height:11490" id="docshape5" filled="true" fillcolor="#f5f5f5" stroked="false">
                  <v:fill type="solid"/>
                </v:rect>
                <v:shape style="position:absolute;left:4934;top:6255;width:75;height:8310" id="docshape6" coordorigin="4935,6255" coordsize="75,8310" path="m5010,14522l5009,14517,5005,14508,5003,14504,4996,14497,4992,14495,4983,14491,4978,14490,4967,14490,4962,14491,4953,14495,4949,14497,4942,14504,4940,14508,4936,14517,4935,14522,4935,14528,4935,14533,4936,14538,4940,14547,4942,14551,4949,14558,4953,14560,4962,14564,4967,14565,4978,14565,4983,14564,4992,14560,4996,14558,5003,14551,5005,14547,5009,14538,5010,14533,5010,14522xm5010,13727l5009,13722,5005,13713,5003,13709,4996,13702,4992,13700,4983,13696,4978,13695,4967,13695,4962,13696,4953,13700,4949,13702,4942,13709,4940,13713,4936,13722,4935,13727,4935,13733,4935,13738,4936,13743,4940,13752,4942,13756,4949,13763,4953,13765,4962,13769,4967,13770,4978,13770,4983,13769,4992,13765,4996,13763,5003,13756,5005,13752,5009,13743,5010,13738,5010,13727xm5010,12932l5009,12927,5005,12918,5003,12914,4996,12907,4992,12905,4983,12901,4978,12900,4967,12900,4962,12901,4953,12905,4949,12907,4942,12914,4940,12918,4936,12927,4935,12932,4935,12938,4935,12943,4936,12948,4940,12957,4942,12961,4949,12968,4953,12970,4962,12974,4967,12975,4978,12975,4983,12974,4992,12970,4996,12968,5003,12961,5005,12957,5009,12948,5010,12943,5010,12932xm5010,12137l5009,12132,5005,12123,5003,12119,4996,12112,4992,12110,4983,12106,4978,12105,4967,12105,4962,12106,4953,12110,4949,12112,4942,12119,4940,12123,4936,12132,4935,12137,4935,12143,4935,12148,4936,12153,4940,12162,4942,12166,4949,12173,4953,12175,4962,12179,4967,12180,4978,12180,4983,12179,4992,12175,4996,12173,5003,12166,5005,12162,5009,12153,5010,12148,5010,12137xm5010,10247l5009,10242,5005,10233,5003,10229,4996,10222,4992,10220,4983,10216,4978,10215,4967,10215,4962,10216,4953,10220,4949,10222,4942,10229,4940,10233,4936,10242,4935,10247,4935,10253,4935,10258,4936,10263,4940,10272,4942,10276,4949,10283,4953,10285,4962,10289,4967,10290,4978,10290,4983,10289,4992,10285,4996,10283,5003,10276,5005,10272,5009,10263,5010,10258,5010,10247xm5010,9452l5009,9447,5005,9438,5003,9434,4996,9427,4992,9425,4983,9421,4978,9420,4967,9420,4962,9421,4953,9425,4949,9427,4942,9434,4940,9438,4936,9447,4935,9452,4935,9458,4935,9463,4936,9468,4940,9477,4942,9481,4949,9488,4953,9490,4962,9494,4967,9495,4978,9495,4983,9494,4992,9490,4996,9488,5003,9481,5005,9477,5009,9468,5010,9463,5010,9452xm5010,8657l5009,8652,5005,8643,5003,8639,4996,8632,4992,8630,4983,8626,4978,8625,4967,8625,4962,8626,4953,8630,4949,8632,4942,8639,4940,8643,4936,8652,4935,8657,4935,8663,4935,8668,4936,8673,4940,8682,4942,8686,4949,8693,4953,8695,4962,8699,4967,8700,4978,8700,4983,8699,4992,8695,4996,8693,5003,8686,5005,8682,5009,8673,5010,8668,5010,8657xm5010,7862l5009,7857,5005,7848,5003,7844,4996,7837,4992,7835,4983,7831,4978,7830,4967,7830,4962,7831,4953,7835,4949,7837,4942,7844,4940,7848,4936,7857,4935,7862,4935,7868,4935,7873,4936,7878,4940,7887,4942,7891,4949,7898,4953,7900,4962,7904,4967,7905,4978,7905,4983,7904,4992,7900,4996,7898,5003,7891,5005,7887,5009,7878,5010,7873,5010,7862xm5010,7082l5009,7077,5005,7068,5003,7064,4996,7057,4992,7055,4983,7051,4978,7050,4967,7050,4962,7051,4953,7055,4949,7057,4942,7064,4940,7068,4936,7077,4935,7082,4935,7088,4935,7093,4936,7098,4940,7107,4942,7111,4949,7118,4953,7120,4962,7124,4967,7125,4978,7125,4983,7124,4992,7120,4996,7118,5003,7111,5005,7107,5009,7098,5010,7093,5010,7082xm5010,6287l5009,6282,5005,6273,5003,6269,4996,6262,4992,6260,4983,6256,4978,6255,4967,6255,4962,6256,4953,6260,4949,6262,4942,6269,4940,6273,4936,6282,4935,6287,4935,6293,4935,6298,4936,6303,4940,6312,4942,6316,4949,6323,4953,6325,4962,6329,4967,6330,4978,6330,4983,6329,4992,6325,4996,6323,5003,6316,5005,6312,5009,6303,5010,6298,5010,6287xe" filled="true" fillcolor="#000000" stroked="false">
                  <v:path arrowok="t"/>
                  <v:fill type="solid"/>
                </v:shape>
                <v:shape style="position:absolute;left:0;top:4725;width:4425;height:5715" id="docshape7" coordorigin="0,4725" coordsize="4425,5715" path="m4425,10065l0,10065,0,10440,4425,10440,4425,10065xm4425,7140l0,7140,0,7515,4425,7515,4425,7140xm4425,4725l0,4725,0,5115,4425,5115,4425,472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000-0000</w:t>
      </w:r>
    </w:p>
    <w:p>
      <w:pPr>
        <w:pStyle w:val="BodyText"/>
        <w:spacing w:line="340" w:lineRule="auto" w:before="134"/>
        <w:ind w:left="430" w:right="1002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email@example.com</w:t>
        </w:r>
      </w:hyperlink>
      <w:r>
        <w:rPr/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</w:rPr>
        <w:t> </w:t>
      </w:r>
      <w:r>
        <w:rPr/>
        <w:t>City, ST</w:t>
      </w:r>
    </w:p>
    <w:p>
      <w:pPr>
        <w:pStyle w:val="Heading1"/>
        <w:spacing w:before="99"/>
      </w:pPr>
      <w:r>
        <w:rPr>
          <w:color w:val="588981"/>
          <w:spacing w:val="-2"/>
          <w:sz w:val="44"/>
        </w:rPr>
        <w:t>E</w:t>
      </w:r>
      <w:r>
        <w:rPr>
          <w:color w:val="588981"/>
          <w:spacing w:val="-2"/>
        </w:rPr>
        <w:t>DUCATION</w:t>
      </w:r>
    </w:p>
    <w:p>
      <w:pPr>
        <w:pStyle w:val="BodyText"/>
        <w:spacing w:before="159"/>
        <w:rPr>
          <w:b/>
          <w:sz w:val="26"/>
        </w:rPr>
      </w:pPr>
    </w:p>
    <w:p>
      <w:pPr>
        <w:pStyle w:val="BodyText"/>
        <w:spacing w:line="261" w:lineRule="auto"/>
        <w:ind w:left="435"/>
      </w:pPr>
      <w:r>
        <w:rPr/>
        <w:t>Juris Doctor (J.D.) | May 2014 State University Law School | City, ST</w:t>
      </w:r>
    </w:p>
    <w:p>
      <w:pPr>
        <w:pStyle w:val="BodyText"/>
      </w:pPr>
    </w:p>
    <w:p>
      <w:pPr>
        <w:pStyle w:val="BodyText"/>
        <w:spacing w:before="65"/>
      </w:pPr>
    </w:p>
    <w:p>
      <w:pPr>
        <w:pStyle w:val="BodyText"/>
        <w:spacing w:line="261" w:lineRule="auto"/>
        <w:ind w:left="435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Laws</w:t>
      </w:r>
      <w:r>
        <w:rPr>
          <w:spacing w:val="-13"/>
          <w:w w:val="105"/>
        </w:rPr>
        <w:t> </w:t>
      </w:r>
      <w:r>
        <w:rPr>
          <w:w w:val="105"/>
        </w:rPr>
        <w:t>(LL.M.)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Taxation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 </w:t>
      </w:r>
      <w:r>
        <w:rPr>
          <w:spacing w:val="-2"/>
          <w:w w:val="105"/>
        </w:rPr>
        <w:t>2015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Georgetown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Law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Center</w:t>
      </w:r>
    </w:p>
    <w:p>
      <w:pPr>
        <w:pStyle w:val="BodyText"/>
        <w:spacing w:before="14"/>
        <w:ind w:left="435"/>
      </w:pPr>
      <w:r>
        <w:rPr/>
        <w:t>|</w:t>
      </w:r>
      <w:r>
        <w:rPr>
          <w:spacing w:val="5"/>
        </w:rPr>
        <w:t> </w:t>
      </w:r>
      <w:r>
        <w:rPr/>
        <w:t>Washington,</w:t>
      </w:r>
      <w:r>
        <w:rPr>
          <w:spacing w:val="5"/>
        </w:rPr>
        <w:t> </w:t>
      </w:r>
      <w:r>
        <w:rPr>
          <w:spacing w:val="-5"/>
        </w:rPr>
        <w:t>DC</w:t>
      </w:r>
    </w:p>
    <w:p>
      <w:pPr>
        <w:pStyle w:val="BodyText"/>
        <w:spacing w:before="137"/>
      </w:pPr>
    </w:p>
    <w:p>
      <w:pPr>
        <w:pStyle w:val="Heading1"/>
      </w:pPr>
      <w:r>
        <w:rPr>
          <w:color w:val="588981"/>
          <w:sz w:val="44"/>
        </w:rPr>
        <w:t>K</w:t>
      </w:r>
      <w:r>
        <w:rPr>
          <w:color w:val="588981"/>
        </w:rPr>
        <w:t>EY</w:t>
      </w:r>
      <w:r>
        <w:rPr>
          <w:color w:val="588981"/>
          <w:spacing w:val="-2"/>
        </w:rPr>
        <w:t> SKILLS</w:t>
      </w:r>
    </w:p>
    <w:p>
      <w:pPr>
        <w:pStyle w:val="BodyText"/>
        <w:spacing w:before="174"/>
        <w:rPr>
          <w:b/>
          <w:sz w:val="26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0" w:after="0"/>
        <w:ind w:left="732" w:right="728" w:hanging="304"/>
        <w:jc w:val="left"/>
        <w:rPr>
          <w:sz w:val="18"/>
        </w:rPr>
      </w:pPr>
      <w:r>
        <w:rPr>
          <w:spacing w:val="-2"/>
          <w:w w:val="105"/>
          <w:sz w:val="18"/>
        </w:rPr>
        <w:t>IRS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audit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representation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and </w:t>
      </w:r>
      <w:r>
        <w:rPr>
          <w:w w:val="105"/>
          <w:sz w:val="18"/>
        </w:rPr>
        <w:t>controversy resolution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4" w:after="0"/>
        <w:ind w:left="732" w:right="0" w:hanging="304"/>
        <w:jc w:val="left"/>
        <w:rPr>
          <w:sz w:val="18"/>
        </w:rPr>
      </w:pPr>
      <w:r>
        <w:rPr>
          <w:sz w:val="18"/>
        </w:rPr>
        <w:t>Tax-efﬁcient</w:t>
      </w:r>
      <w:r>
        <w:rPr>
          <w:spacing w:val="11"/>
          <w:sz w:val="18"/>
        </w:rPr>
        <w:t> </w:t>
      </w:r>
      <w:r>
        <w:rPr>
          <w:sz w:val="18"/>
        </w:rPr>
        <w:t>transaction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structuring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123" w:after="0"/>
        <w:ind w:left="732" w:right="419" w:hanging="304"/>
        <w:jc w:val="left"/>
        <w:rPr>
          <w:sz w:val="18"/>
        </w:rPr>
      </w:pPr>
      <w:r>
        <w:rPr>
          <w:w w:val="105"/>
          <w:sz w:val="18"/>
        </w:rPr>
        <w:t>Cross-border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multi-state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tax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4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Tax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opinion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memoranda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drafting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123" w:after="0"/>
        <w:ind w:left="732" w:right="477" w:hanging="304"/>
        <w:jc w:val="left"/>
        <w:rPr>
          <w:sz w:val="18"/>
        </w:rPr>
      </w:pPr>
      <w:r>
        <w:rPr>
          <w:w w:val="105"/>
          <w:sz w:val="18"/>
        </w:rPr>
        <w:t>State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federal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tax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credit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 incentive analysis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103" w:after="0"/>
        <w:ind w:left="732" w:right="742" w:hanging="304"/>
        <w:jc w:val="left"/>
        <w:rPr>
          <w:sz w:val="18"/>
        </w:rPr>
      </w:pPr>
      <w:r>
        <w:rPr>
          <w:w w:val="105"/>
          <w:sz w:val="18"/>
        </w:rPr>
        <w:t>Corporate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individual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tax compliance advisory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75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IRS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appeals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protest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123" w:after="0"/>
        <w:ind w:left="732" w:right="371" w:hanging="304"/>
        <w:jc w:val="left"/>
        <w:rPr>
          <w:sz w:val="18"/>
        </w:rPr>
      </w:pPr>
      <w:r>
        <w:rPr>
          <w:w w:val="105"/>
          <w:sz w:val="18"/>
        </w:rPr>
        <w:t>C-suite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UHNW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individual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tax </w:t>
      </w:r>
      <w:r>
        <w:rPr>
          <w:spacing w:val="-2"/>
          <w:w w:val="105"/>
          <w:sz w:val="18"/>
        </w:rPr>
        <w:t>counseling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75" w:after="0"/>
        <w:ind w:left="732" w:right="64" w:hanging="304"/>
        <w:jc w:val="left"/>
        <w:rPr>
          <w:sz w:val="18"/>
        </w:rPr>
      </w:pPr>
      <w:r>
        <w:rPr>
          <w:w w:val="105"/>
          <w:sz w:val="18"/>
        </w:rPr>
        <w:t>Transfer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pricing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international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tax </w:t>
      </w:r>
      <w:r>
        <w:rPr>
          <w:spacing w:val="-2"/>
          <w:w w:val="105"/>
          <w:sz w:val="18"/>
        </w:rPr>
        <w:t>compliance</w:t>
      </w:r>
    </w:p>
    <w:p>
      <w:pPr>
        <w:pStyle w:val="BodyText"/>
        <w:spacing w:line="331" w:lineRule="auto" w:before="74"/>
        <w:ind w:left="100" w:right="1781"/>
      </w:pPr>
      <w:r>
        <w:rPr/>
        <w:br w:type="column"/>
      </w:r>
      <w:r>
        <w:rPr>
          <w:spacing w:val="-4"/>
          <w:w w:val="105"/>
        </w:rPr>
        <w:t>SENIOR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TAX COUNSEL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| GLOBALTAX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ADVISORS | CITY, ST </w:t>
      </w:r>
      <w:r>
        <w:rPr>
          <w:w w:val="105"/>
        </w:rPr>
        <w:t>JUNE 2018 – PRESENT</w:t>
      </w:r>
    </w:p>
    <w:p>
      <w:pPr>
        <w:pStyle w:val="BodyText"/>
        <w:spacing w:line="268" w:lineRule="auto" w:before="194"/>
        <w:ind w:left="658" w:right="381"/>
        <w:jc w:val="both"/>
      </w:pPr>
      <w:r>
        <w:rPr>
          <w:w w:val="105"/>
        </w:rPr>
        <w:t>Represented</w:t>
      </w:r>
      <w:r>
        <w:rPr>
          <w:spacing w:val="-4"/>
          <w:w w:val="105"/>
        </w:rPr>
        <w:t> </w:t>
      </w:r>
      <w:r>
        <w:rPr>
          <w:w w:val="105"/>
        </w:rPr>
        <w:t>50</w:t>
      </w:r>
      <w:r>
        <w:rPr>
          <w:spacing w:val="-4"/>
          <w:w w:val="105"/>
        </w:rPr>
        <w:t> </w:t>
      </w:r>
      <w:r>
        <w:rPr>
          <w:w w:val="105"/>
        </w:rPr>
        <w:t>corporate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individual</w:t>
      </w:r>
      <w:r>
        <w:rPr>
          <w:spacing w:val="-4"/>
          <w:w w:val="105"/>
        </w:rPr>
        <w:t> </w:t>
      </w:r>
      <w:r>
        <w:rPr>
          <w:w w:val="105"/>
        </w:rPr>
        <w:t>clients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IRS</w:t>
      </w:r>
      <w:r>
        <w:rPr>
          <w:spacing w:val="-4"/>
          <w:w w:val="105"/>
        </w:rPr>
        <w:t> </w:t>
      </w:r>
      <w:r>
        <w:rPr>
          <w:w w:val="105"/>
        </w:rPr>
        <w:t>audits,</w:t>
      </w:r>
      <w:r>
        <w:rPr>
          <w:spacing w:val="-4"/>
          <w:w w:val="105"/>
        </w:rPr>
        <w:t> </w:t>
      </w:r>
      <w:r>
        <w:rPr>
          <w:w w:val="105"/>
        </w:rPr>
        <w:t>achieving zero</w:t>
      </w:r>
      <w:r>
        <w:rPr>
          <w:spacing w:val="-10"/>
          <w:w w:val="105"/>
        </w:rPr>
        <w:t> </w:t>
      </w:r>
      <w:r>
        <w:rPr>
          <w:w w:val="105"/>
        </w:rPr>
        <w:t>tax</w:t>
      </w:r>
      <w:r>
        <w:rPr>
          <w:spacing w:val="-10"/>
          <w:w w:val="105"/>
        </w:rPr>
        <w:t> </w:t>
      </w:r>
      <w:r>
        <w:rPr>
          <w:w w:val="105"/>
        </w:rPr>
        <w:t>adjustments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80%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cases</w:t>
      </w:r>
      <w:r>
        <w:rPr>
          <w:spacing w:val="-10"/>
          <w:w w:val="105"/>
        </w:rPr>
        <w:t> </w:t>
      </w:r>
      <w:r>
        <w:rPr>
          <w:w w:val="105"/>
        </w:rPr>
        <w:t>through</w:t>
      </w:r>
      <w:r>
        <w:rPr>
          <w:spacing w:val="-10"/>
          <w:w w:val="105"/>
        </w:rPr>
        <w:t> </w:t>
      </w:r>
      <w:r>
        <w:rPr>
          <w:w w:val="105"/>
        </w:rPr>
        <w:t>meticulous</w:t>
      </w:r>
      <w:r>
        <w:rPr>
          <w:spacing w:val="-10"/>
          <w:w w:val="105"/>
        </w:rPr>
        <w:t> </w:t>
      </w:r>
      <w:r>
        <w:rPr>
          <w:w w:val="105"/>
        </w:rPr>
        <w:t>documentation and strategic examination management</w:t>
      </w:r>
    </w:p>
    <w:p>
      <w:pPr>
        <w:pStyle w:val="BodyText"/>
        <w:spacing w:line="268" w:lineRule="auto" w:before="99"/>
        <w:ind w:left="658"/>
      </w:pPr>
      <w:r>
        <w:rPr>
          <w:w w:val="105"/>
        </w:rPr>
        <w:t>Structured $500M in cross-border transactions across 8 jurisdictions, reducing</w:t>
      </w:r>
      <w:r>
        <w:rPr>
          <w:spacing w:val="-4"/>
          <w:w w:val="105"/>
        </w:rPr>
        <w:t> </w:t>
      </w:r>
      <w:r>
        <w:rPr>
          <w:w w:val="105"/>
        </w:rPr>
        <w:t>effective</w:t>
      </w:r>
      <w:r>
        <w:rPr>
          <w:spacing w:val="-4"/>
          <w:w w:val="105"/>
        </w:rPr>
        <w:t> </w:t>
      </w:r>
      <w:r>
        <w:rPr>
          <w:w w:val="105"/>
        </w:rPr>
        <w:t>tax</w:t>
      </w:r>
      <w:r>
        <w:rPr>
          <w:spacing w:val="-4"/>
          <w:w w:val="105"/>
        </w:rPr>
        <w:t> </w:t>
      </w:r>
      <w:r>
        <w:rPr>
          <w:w w:val="105"/>
        </w:rPr>
        <w:t>rates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up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5%</w:t>
      </w:r>
      <w:r>
        <w:rPr>
          <w:spacing w:val="-4"/>
          <w:w w:val="105"/>
        </w:rPr>
        <w:t> </w:t>
      </w:r>
      <w:r>
        <w:rPr>
          <w:w w:val="105"/>
        </w:rPr>
        <w:t>through</w:t>
      </w:r>
      <w:r>
        <w:rPr>
          <w:spacing w:val="-4"/>
          <w:w w:val="105"/>
        </w:rPr>
        <w:t> </w:t>
      </w:r>
      <w:r>
        <w:rPr>
          <w:w w:val="105"/>
        </w:rPr>
        <w:t>treaty-aligned</w:t>
      </w:r>
      <w:r>
        <w:rPr>
          <w:spacing w:val="-4"/>
          <w:w w:val="105"/>
        </w:rPr>
        <w:t> </w:t>
      </w:r>
      <w:r>
        <w:rPr>
          <w:w w:val="105"/>
        </w:rPr>
        <w:t>holding structures and transfer pricing strategies</w:t>
      </w:r>
    </w:p>
    <w:p>
      <w:pPr>
        <w:pStyle w:val="BodyText"/>
        <w:spacing w:line="278" w:lineRule="auto" w:before="85"/>
        <w:ind w:left="658" w:right="726"/>
        <w:jc w:val="both"/>
      </w:pPr>
      <w:r>
        <w:rPr>
          <w:w w:val="105"/>
        </w:rPr>
        <w:t>Drafted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reviewed</w:t>
      </w:r>
      <w:r>
        <w:rPr>
          <w:spacing w:val="-5"/>
          <w:w w:val="105"/>
        </w:rPr>
        <w:t> </w:t>
      </w:r>
      <w:r>
        <w:rPr>
          <w:w w:val="105"/>
        </w:rPr>
        <w:t>100+</w:t>
      </w:r>
      <w:r>
        <w:rPr>
          <w:spacing w:val="-5"/>
          <w:w w:val="105"/>
        </w:rPr>
        <w:t> </w:t>
      </w:r>
      <w:r>
        <w:rPr>
          <w:w w:val="105"/>
        </w:rPr>
        <w:t>tax</w:t>
      </w:r>
      <w:r>
        <w:rPr>
          <w:spacing w:val="-5"/>
          <w:w w:val="105"/>
        </w:rPr>
        <w:t> </w:t>
      </w:r>
      <w:r>
        <w:rPr>
          <w:w w:val="105"/>
        </w:rPr>
        <w:t>opinions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memoranda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C-suite executives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ultra-high-net-worth</w:t>
      </w:r>
      <w:r>
        <w:rPr>
          <w:spacing w:val="-6"/>
          <w:w w:val="105"/>
        </w:rPr>
        <w:t> </w:t>
      </w:r>
      <w:r>
        <w:rPr>
          <w:w w:val="105"/>
        </w:rPr>
        <w:t>individuals,</w:t>
      </w:r>
      <w:r>
        <w:rPr>
          <w:spacing w:val="-6"/>
          <w:w w:val="105"/>
        </w:rPr>
        <w:t> </w:t>
      </w:r>
      <w:r>
        <w:rPr>
          <w:w w:val="105"/>
        </w:rPr>
        <w:t>addressing</w:t>
      </w:r>
      <w:r>
        <w:rPr>
          <w:spacing w:val="-6"/>
          <w:w w:val="105"/>
        </w:rPr>
        <w:t> </w:t>
      </w:r>
      <w:r>
        <w:rPr>
          <w:w w:val="105"/>
        </w:rPr>
        <w:t>complex domestic and international tax planning matters</w:t>
      </w:r>
    </w:p>
    <w:p>
      <w:pPr>
        <w:pStyle w:val="BodyText"/>
        <w:spacing w:line="268" w:lineRule="auto" w:before="75"/>
        <w:ind w:left="658" w:right="502"/>
      </w:pPr>
      <w:r>
        <w:rPr>
          <w:w w:val="105"/>
        </w:rPr>
        <w:t>Advised</w:t>
      </w:r>
      <w:r>
        <w:rPr>
          <w:spacing w:val="-7"/>
          <w:w w:val="105"/>
        </w:rPr>
        <w:t> </w:t>
      </w:r>
      <w:r>
        <w:rPr>
          <w:w w:val="105"/>
        </w:rPr>
        <w:t>on</w:t>
      </w:r>
      <w:r>
        <w:rPr>
          <w:spacing w:val="-7"/>
          <w:w w:val="105"/>
        </w:rPr>
        <w:t> </w:t>
      </w:r>
      <w:r>
        <w:rPr>
          <w:w w:val="105"/>
        </w:rPr>
        <w:t>10</w:t>
      </w:r>
      <w:r>
        <w:rPr>
          <w:spacing w:val="-7"/>
          <w:w w:val="105"/>
        </w:rPr>
        <w:t> </w:t>
      </w:r>
      <w:r>
        <w:rPr>
          <w:w w:val="105"/>
        </w:rPr>
        <w:t>corporate</w:t>
      </w:r>
      <w:r>
        <w:rPr>
          <w:spacing w:val="-7"/>
          <w:w w:val="105"/>
        </w:rPr>
        <w:t> </w:t>
      </w:r>
      <w:r>
        <w:rPr>
          <w:w w:val="105"/>
        </w:rPr>
        <w:t>reorganizations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spin-offs,</w:t>
      </w:r>
      <w:r>
        <w:rPr>
          <w:spacing w:val="-7"/>
          <w:w w:val="105"/>
        </w:rPr>
        <w:t> </w:t>
      </w:r>
      <w:r>
        <w:rPr>
          <w:w w:val="105"/>
        </w:rPr>
        <w:t>ensuring</w:t>
      </w:r>
      <w:r>
        <w:rPr>
          <w:spacing w:val="-7"/>
          <w:w w:val="105"/>
        </w:rPr>
        <w:t> </w:t>
      </w:r>
      <w:r>
        <w:rPr>
          <w:w w:val="105"/>
        </w:rPr>
        <w:t>tax-neutral treatment under IRC Sections 355 and 368 and reducing transaction tax costs by an estimated $30M</w:t>
      </w:r>
    </w:p>
    <w:p>
      <w:pPr>
        <w:pStyle w:val="BodyText"/>
        <w:spacing w:line="268" w:lineRule="auto" w:before="99"/>
        <w:ind w:left="658" w:right="502"/>
      </w:pPr>
      <w:r>
        <w:rPr>
          <w:w w:val="105"/>
        </w:rPr>
        <w:t>Managed</w:t>
      </w:r>
      <w:r>
        <w:rPr>
          <w:spacing w:val="-4"/>
          <w:w w:val="105"/>
        </w:rPr>
        <w:t> </w:t>
      </w:r>
      <w:r>
        <w:rPr>
          <w:w w:val="105"/>
        </w:rPr>
        <w:t>relationships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25</w:t>
      </w:r>
      <w:r>
        <w:rPr>
          <w:spacing w:val="-4"/>
          <w:w w:val="105"/>
        </w:rPr>
        <w:t> </w:t>
      </w:r>
      <w:r>
        <w:rPr>
          <w:w w:val="105"/>
        </w:rPr>
        <w:t>audit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tax</w:t>
      </w:r>
      <w:r>
        <w:rPr>
          <w:spacing w:val="-4"/>
          <w:w w:val="105"/>
        </w:rPr>
        <w:t> </w:t>
      </w:r>
      <w:r>
        <w:rPr>
          <w:w w:val="105"/>
        </w:rPr>
        <w:t>advisory</w:t>
      </w:r>
      <w:r>
        <w:rPr>
          <w:spacing w:val="-4"/>
          <w:w w:val="105"/>
        </w:rPr>
        <w:t> </w:t>
      </w:r>
      <w:r>
        <w:rPr>
          <w:w w:val="105"/>
        </w:rPr>
        <w:t>clients,</w:t>
      </w:r>
      <w:r>
        <w:rPr>
          <w:spacing w:val="-4"/>
          <w:w w:val="105"/>
        </w:rPr>
        <w:t> </w:t>
      </w:r>
      <w:r>
        <w:rPr>
          <w:w w:val="105"/>
        </w:rPr>
        <w:t>providing year-round proactive planning that identiﬁed $15M in tax savings opportunities over 3 years</w:t>
      </w:r>
    </w:p>
    <w:p>
      <w:pPr>
        <w:pStyle w:val="BodyText"/>
        <w:spacing w:line="268" w:lineRule="auto" w:before="100"/>
        <w:ind w:left="658" w:right="244"/>
      </w:pPr>
      <w:r>
        <w:rPr>
          <w:w w:val="105"/>
        </w:rPr>
        <w:t>Supervised 3 junior tax attorneys on examination matters, reviewing all client</w:t>
      </w:r>
      <w:r>
        <w:rPr>
          <w:spacing w:val="-7"/>
          <w:w w:val="105"/>
        </w:rPr>
        <w:t> </w:t>
      </w:r>
      <w:r>
        <w:rPr>
          <w:w w:val="105"/>
        </w:rPr>
        <w:t>submissions</w:t>
      </w:r>
      <w:r>
        <w:rPr>
          <w:spacing w:val="-7"/>
          <w:w w:val="105"/>
        </w:rPr>
        <w:t> </w:t>
      </w:r>
      <w:r>
        <w:rPr>
          <w:w w:val="105"/>
        </w:rPr>
        <w:t>before</w:t>
      </w:r>
      <w:r>
        <w:rPr>
          <w:spacing w:val="-7"/>
          <w:w w:val="105"/>
        </w:rPr>
        <w:t> </w:t>
      </w:r>
      <w:r>
        <w:rPr>
          <w:w w:val="105"/>
        </w:rPr>
        <w:t>IRS</w:t>
      </w:r>
      <w:r>
        <w:rPr>
          <w:spacing w:val="-7"/>
          <w:w w:val="105"/>
        </w:rPr>
        <w:t> </w:t>
      </w:r>
      <w:r>
        <w:rPr>
          <w:w w:val="105"/>
        </w:rPr>
        <w:t>ﬁling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conducting</w:t>
      </w:r>
      <w:r>
        <w:rPr>
          <w:spacing w:val="-7"/>
          <w:w w:val="105"/>
        </w:rPr>
        <w:t> </w:t>
      </w:r>
      <w:r>
        <w:rPr>
          <w:w w:val="105"/>
        </w:rPr>
        <w:t>weekly</w:t>
      </w:r>
      <w:r>
        <w:rPr>
          <w:spacing w:val="-7"/>
          <w:w w:val="105"/>
        </w:rPr>
        <w:t> </w:t>
      </w:r>
      <w:r>
        <w:rPr>
          <w:w w:val="105"/>
        </w:rPr>
        <w:t>team</w:t>
      </w:r>
      <w:r>
        <w:rPr>
          <w:spacing w:val="-7"/>
          <w:w w:val="105"/>
        </w:rPr>
        <w:t> </w:t>
      </w:r>
      <w:r>
        <w:rPr>
          <w:w w:val="105"/>
        </w:rPr>
        <w:t>training on current regulatory developments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348" w:lineRule="auto"/>
        <w:ind w:left="100" w:right="1781"/>
      </w:pPr>
      <w:r>
        <w:rPr>
          <w:spacing w:val="-2"/>
          <w:w w:val="105"/>
        </w:rPr>
        <w:t>ASSOCIATE,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TAX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LITIGATION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TAXLIT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LAW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FIRM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 </w:t>
      </w:r>
      <w:r>
        <w:rPr>
          <w:w w:val="105"/>
        </w:rPr>
        <w:t>SEPTEMBER 2014 – MAY 2018</w:t>
      </w:r>
    </w:p>
    <w:p>
      <w:pPr>
        <w:pStyle w:val="BodyText"/>
        <w:spacing w:line="268" w:lineRule="auto" w:before="165"/>
        <w:ind w:left="658"/>
      </w:pPr>
      <w:r>
        <w:rPr>
          <w:w w:val="105"/>
        </w:rPr>
        <w:t>Prepared protest and petition documents for 30 IRS appeals, securing favorable</w:t>
      </w:r>
      <w:r>
        <w:rPr>
          <w:spacing w:val="-6"/>
          <w:w w:val="105"/>
        </w:rPr>
        <w:t> </w:t>
      </w:r>
      <w:r>
        <w:rPr>
          <w:w w:val="105"/>
        </w:rPr>
        <w:t>rulings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60%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matters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achieving</w:t>
      </w:r>
      <w:r>
        <w:rPr>
          <w:spacing w:val="-6"/>
          <w:w w:val="105"/>
        </w:rPr>
        <w:t> </w:t>
      </w:r>
      <w:r>
        <w:rPr>
          <w:w w:val="105"/>
        </w:rPr>
        <w:t>partial</w:t>
      </w:r>
      <w:r>
        <w:rPr>
          <w:spacing w:val="-6"/>
          <w:w w:val="105"/>
        </w:rPr>
        <w:t> </w:t>
      </w:r>
      <w:r>
        <w:rPr>
          <w:w w:val="105"/>
        </w:rPr>
        <w:t>adjustments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an additional 25% of cases</w:t>
      </w:r>
    </w:p>
    <w:p>
      <w:pPr>
        <w:pStyle w:val="BodyText"/>
        <w:spacing w:line="268" w:lineRule="auto" w:before="100"/>
        <w:ind w:left="658"/>
      </w:pPr>
      <w:r>
        <w:rPr>
          <w:w w:val="105"/>
        </w:rPr>
        <w:t>Conducted</w:t>
      </w:r>
      <w:r>
        <w:rPr>
          <w:spacing w:val="-5"/>
          <w:w w:val="105"/>
        </w:rPr>
        <w:t> </w:t>
      </w:r>
      <w:r>
        <w:rPr>
          <w:w w:val="105"/>
        </w:rPr>
        <w:t>research</w:t>
      </w:r>
      <w:r>
        <w:rPr>
          <w:spacing w:val="-5"/>
          <w:w w:val="105"/>
        </w:rPr>
        <w:t> </w:t>
      </w:r>
      <w:r>
        <w:rPr>
          <w:w w:val="105"/>
        </w:rPr>
        <w:t>on</w:t>
      </w:r>
      <w:r>
        <w:rPr>
          <w:spacing w:val="-5"/>
          <w:w w:val="105"/>
        </w:rPr>
        <w:t> </w:t>
      </w:r>
      <w:r>
        <w:rPr>
          <w:w w:val="105"/>
        </w:rPr>
        <w:t>state</w:t>
      </w:r>
      <w:r>
        <w:rPr>
          <w:spacing w:val="-5"/>
          <w:w w:val="105"/>
        </w:rPr>
        <w:t> </w:t>
      </w:r>
      <w:r>
        <w:rPr>
          <w:w w:val="105"/>
        </w:rPr>
        <w:t>tax</w:t>
      </w:r>
      <w:r>
        <w:rPr>
          <w:spacing w:val="-5"/>
          <w:w w:val="105"/>
        </w:rPr>
        <w:t> </w:t>
      </w:r>
      <w:r>
        <w:rPr>
          <w:w w:val="105"/>
        </w:rPr>
        <w:t>credits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incentives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15</w:t>
      </w:r>
      <w:r>
        <w:rPr>
          <w:spacing w:val="-5"/>
          <w:w w:val="105"/>
        </w:rPr>
        <w:t> </w:t>
      </w:r>
      <w:r>
        <w:rPr>
          <w:w w:val="105"/>
        </w:rPr>
        <w:t>jurisdictions, identifying $10M+ in available credits for manufacturing and technology sector clients</w:t>
      </w:r>
    </w:p>
    <w:p>
      <w:pPr>
        <w:pStyle w:val="BodyText"/>
        <w:spacing w:line="268" w:lineRule="auto" w:before="99"/>
        <w:ind w:left="658" w:right="244"/>
      </w:pPr>
      <w:r>
        <w:rPr>
          <w:w w:val="105"/>
        </w:rPr>
        <w:t>Drafted tax opinions on complex partnership, S-corporation, and real estate</w:t>
      </w:r>
      <w:r>
        <w:rPr>
          <w:spacing w:val="-9"/>
          <w:w w:val="105"/>
        </w:rPr>
        <w:t> </w:t>
      </w:r>
      <w:r>
        <w:rPr>
          <w:w w:val="105"/>
        </w:rPr>
        <w:t>investment</w:t>
      </w:r>
      <w:r>
        <w:rPr>
          <w:spacing w:val="-9"/>
          <w:w w:val="105"/>
        </w:rPr>
        <w:t> </w:t>
      </w:r>
      <w:r>
        <w:rPr>
          <w:w w:val="105"/>
        </w:rPr>
        <w:t>transactions,</w:t>
      </w:r>
      <w:r>
        <w:rPr>
          <w:spacing w:val="-9"/>
          <w:w w:val="105"/>
        </w:rPr>
        <w:t> </w:t>
      </w:r>
      <w:r>
        <w:rPr>
          <w:w w:val="105"/>
        </w:rPr>
        <w:t>reviewed</w:t>
      </w:r>
      <w:r>
        <w:rPr>
          <w:spacing w:val="-9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senior</w:t>
      </w:r>
      <w:r>
        <w:rPr>
          <w:spacing w:val="-9"/>
          <w:w w:val="105"/>
        </w:rPr>
        <w:t> </w:t>
      </w:r>
      <w:r>
        <w:rPr>
          <w:w w:val="105"/>
        </w:rPr>
        <w:t>partners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delivered to 20+ corporate clients annually</w:t>
      </w:r>
    </w:p>
    <w:p>
      <w:pPr>
        <w:pStyle w:val="BodyText"/>
        <w:spacing w:line="261" w:lineRule="auto" w:before="100"/>
        <w:ind w:left="658"/>
      </w:pPr>
      <w:r>
        <w:rPr>
          <w:w w:val="105"/>
        </w:rPr>
        <w:t>Analyzed</w:t>
      </w:r>
      <w:r>
        <w:rPr>
          <w:spacing w:val="-9"/>
          <w:w w:val="105"/>
        </w:rPr>
        <w:t> </w:t>
      </w:r>
      <w:r>
        <w:rPr>
          <w:w w:val="105"/>
        </w:rPr>
        <w:t>foreign</w:t>
      </w:r>
      <w:r>
        <w:rPr>
          <w:spacing w:val="-9"/>
          <w:w w:val="105"/>
        </w:rPr>
        <w:t> </w:t>
      </w:r>
      <w:r>
        <w:rPr>
          <w:w w:val="105"/>
        </w:rPr>
        <w:t>account</w:t>
      </w:r>
      <w:r>
        <w:rPr>
          <w:spacing w:val="-9"/>
          <w:w w:val="105"/>
        </w:rPr>
        <w:t> </w:t>
      </w:r>
      <w:r>
        <w:rPr>
          <w:w w:val="105"/>
        </w:rPr>
        <w:t>reporting</w:t>
      </w:r>
      <w:r>
        <w:rPr>
          <w:spacing w:val="-9"/>
          <w:w w:val="105"/>
        </w:rPr>
        <w:t> </w:t>
      </w:r>
      <w:r>
        <w:rPr>
          <w:w w:val="105"/>
        </w:rPr>
        <w:t>requirements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10</w:t>
      </w:r>
      <w:r>
        <w:rPr>
          <w:spacing w:val="-9"/>
          <w:w w:val="105"/>
        </w:rPr>
        <w:t> </w:t>
      </w:r>
      <w:r>
        <w:rPr>
          <w:w w:val="105"/>
        </w:rPr>
        <w:t>UHNW</w:t>
      </w:r>
      <w:r>
        <w:rPr>
          <w:spacing w:val="-9"/>
          <w:w w:val="105"/>
        </w:rPr>
        <w:t> </w:t>
      </w:r>
      <w:r>
        <w:rPr>
          <w:w w:val="105"/>
        </w:rPr>
        <w:t>clients, </w:t>
      </w:r>
      <w:r>
        <w:rPr>
          <w:spacing w:val="-2"/>
          <w:w w:val="105"/>
        </w:rPr>
        <w:t>ensuring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FBAR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FATCA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avoiding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penalties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totaling</w:t>
      </w:r>
    </w:p>
    <w:p>
      <w:pPr>
        <w:pStyle w:val="BodyText"/>
        <w:spacing w:before="14"/>
        <w:ind w:left="658"/>
      </w:pPr>
      <w:r>
        <w:rPr>
          <w:spacing w:val="-4"/>
          <w:w w:val="105"/>
        </w:rPr>
        <w:t>$2M+</w:t>
      </w:r>
    </w:p>
    <w:sectPr>
      <w:type w:val="continuous"/>
      <w:pgSz w:w="11920" w:h="16860"/>
      <w:pgMar w:top="0" w:bottom="280" w:left="141" w:right="283"/>
      <w:cols w:num="2" w:equalWidth="0">
        <w:col w:w="3833" w:space="593"/>
        <w:col w:w="7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9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8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67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7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8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95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04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1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4"/>
      <w:ind w:left="441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5"/>
      <w:ind w:left="732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2026-03-19T15:40:38Z</dcterms:created>
  <dcterms:modified xsi:type="dcterms:W3CDTF">2026-03-19T15:40:38Z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2026-03-19T00:00:00Z</vt:filetime>
  </property>
  <property fmtid="{D5CDD505-2E9C-101B-9397-08002B2CF9AE}" pid="5" name="Producer">
    <vt:lpwstr>Skia/PDF m121</vt:lpwstr>
  </property>
</Properties>
</file>