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17" w:right="225" w:firstLine="0"/>
        <w:jc w:val="center"/>
        <w:rPr>
          <w:b/>
          <w:sz w:val="82"/>
        </w:rPr>
      </w:pPr>
      <w:r>
        <w:rPr>
          <w:rFonts w:ascii="Microsoft Sans Serif"/>
          <w:color w:val="0C0C0C"/>
          <w:sz w:val="82"/>
        </w:rPr>
        <w:t>Pat</w:t>
      </w:r>
      <w:r>
        <w:rPr>
          <w:rFonts w:ascii="Microsoft Sans Serif"/>
          <w:color w:val="0C0C0C"/>
          <w:spacing w:val="27"/>
          <w:sz w:val="82"/>
        </w:rPr>
        <w:t> </w:t>
      </w:r>
      <w:r>
        <w:rPr>
          <w:b/>
          <w:color w:val="0C0C0C"/>
          <w:spacing w:val="9"/>
          <w:sz w:val="82"/>
        </w:rPr>
        <w:t>Thomas</w:t>
      </w:r>
    </w:p>
    <w:p>
      <w:pPr>
        <w:spacing w:line="261" w:lineRule="auto" w:before="153"/>
        <w:ind w:left="4378" w:right="225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spacing w:val="-8"/>
          <w:sz w:val="28"/>
        </w:rPr>
        <w:t>E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N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V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I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R</w:t>
      </w:r>
      <w:r>
        <w:rPr>
          <w:rFonts w:ascii="Microsoft Sans Serif"/>
          <w:color w:val="0C0C0C"/>
          <w:spacing w:val="-22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N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M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E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N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T</w:t>
      </w:r>
      <w:r>
        <w:rPr>
          <w:rFonts w:ascii="Microsoft Sans Serif"/>
          <w:color w:val="0C0C0C"/>
          <w:spacing w:val="-37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A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L</w:t>
      </w:r>
      <w:r>
        <w:rPr>
          <w:rFonts w:ascii="Microsoft Sans Serif"/>
          <w:color w:val="0C0C0C"/>
          <w:spacing w:val="3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P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R</w:t>
      </w:r>
      <w:r>
        <w:rPr>
          <w:rFonts w:ascii="Microsoft Sans Serif"/>
          <w:color w:val="0C0C0C"/>
          <w:spacing w:val="-22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G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R</w:t>
      </w:r>
      <w:r>
        <w:rPr>
          <w:rFonts w:ascii="Microsoft Sans Serif"/>
          <w:color w:val="0C0C0C"/>
          <w:spacing w:val="-11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A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M</w:t>
      </w:r>
      <w:r>
        <w:rPr>
          <w:rFonts w:ascii="Microsoft Sans Serif"/>
          <w:color w:val="0C0C0C"/>
          <w:spacing w:val="56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B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U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D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G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E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8"/>
          <w:sz w:val="28"/>
        </w:rPr>
        <w:t>T </w:t>
      </w:r>
      <w:r>
        <w:rPr>
          <w:rFonts w:ascii="Microsoft Sans Serif"/>
          <w:color w:val="0C0C0C"/>
          <w:sz w:val="28"/>
        </w:rPr>
        <w:t>A</w:t>
      </w:r>
      <w:r>
        <w:rPr>
          <w:rFonts w:ascii="Microsoft Sans Serif"/>
          <w:color w:val="0C0C0C"/>
          <w:spacing w:val="-4"/>
          <w:sz w:val="28"/>
        </w:rPr>
        <w:t> </w:t>
      </w:r>
      <w:r>
        <w:rPr>
          <w:rFonts w:ascii="Microsoft Sans Serif"/>
          <w:color w:val="0C0C0C"/>
          <w:sz w:val="28"/>
        </w:rPr>
        <w:t>N</w:t>
      </w:r>
      <w:r>
        <w:rPr>
          <w:rFonts w:ascii="Microsoft Sans Serif"/>
          <w:color w:val="0C0C0C"/>
          <w:spacing w:val="-4"/>
          <w:sz w:val="28"/>
        </w:rPr>
        <w:t> </w:t>
      </w:r>
      <w:r>
        <w:rPr>
          <w:rFonts w:ascii="Microsoft Sans Serif"/>
          <w:color w:val="0C0C0C"/>
          <w:sz w:val="28"/>
        </w:rPr>
        <w:t>A</w:t>
      </w:r>
      <w:r>
        <w:rPr>
          <w:rFonts w:ascii="Microsoft Sans Serif"/>
          <w:color w:val="0C0C0C"/>
          <w:spacing w:val="-4"/>
          <w:sz w:val="28"/>
        </w:rPr>
        <w:t> </w:t>
      </w:r>
      <w:r>
        <w:rPr>
          <w:rFonts w:ascii="Microsoft Sans Serif"/>
          <w:color w:val="0C0C0C"/>
          <w:spacing w:val="11"/>
          <w:sz w:val="28"/>
        </w:rPr>
        <w:t>LY</w:t>
      </w:r>
      <w:r>
        <w:rPr>
          <w:rFonts w:ascii="Microsoft Sans Serif"/>
          <w:color w:val="0C0C0C"/>
          <w:spacing w:val="-4"/>
          <w:sz w:val="28"/>
        </w:rPr>
        <w:t> </w:t>
      </w:r>
      <w:r>
        <w:rPr>
          <w:rFonts w:ascii="Microsoft Sans Serif"/>
          <w:color w:val="0C0C0C"/>
          <w:sz w:val="28"/>
        </w:rPr>
        <w:t>S</w:t>
      </w:r>
      <w:r>
        <w:rPr>
          <w:rFonts w:ascii="Microsoft Sans Serif"/>
          <w:color w:val="0C0C0C"/>
          <w:spacing w:val="-4"/>
          <w:sz w:val="28"/>
        </w:rPr>
        <w:t> </w:t>
      </w:r>
      <w:r>
        <w:rPr>
          <w:rFonts w:ascii="Microsoft Sans Serif"/>
          <w:color w:val="0C0C0C"/>
          <w:sz w:val="28"/>
        </w:rPr>
        <w:t>T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color w:val="0C0C0C"/>
          <w:spacing w:val="-10"/>
        </w:rPr>
        <w:t>CONTACT</w:t>
      </w:r>
    </w:p>
    <w:p>
      <w:pPr>
        <w:spacing w:line="271" w:lineRule="auto" w:before="74"/>
        <w:ind w:left="77" w:right="126" w:firstLine="0"/>
        <w:jc w:val="center"/>
        <w:rPr>
          <w:sz w:val="18"/>
        </w:rPr>
      </w:pPr>
      <w:r>
        <w:rPr/>
        <w:br w:type="column"/>
      </w:r>
      <w:r>
        <w:rPr>
          <w:w w:val="105"/>
          <w:sz w:val="18"/>
        </w:rPr>
        <w:t>Finance analyst with 5+ years managing budgets for climate action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environmental program initiatives funded through state appropriations and competitive grants. Tracks $25 million in environmental program funds at the Oregon Department of Environmental Quality, managed $8 million in clean energy pilot program funding, and reduced funder reporting time by 40%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through reporting tool implementation at Green Futures Coalition. Skilled in grant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reporting,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finance,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aligning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program expenditures with environmental benchmarks and funder requirements.</w:t>
      </w:r>
    </w:p>
    <w:p>
      <w:pPr>
        <w:spacing w:after="0" w:line="271" w:lineRule="auto"/>
        <w:jc w:val="center"/>
        <w:rPr>
          <w:sz w:val="18"/>
        </w:rPr>
        <w:sectPr>
          <w:type w:val="continuous"/>
          <w:pgSz w:w="11920" w:h="16860"/>
          <w:pgMar w:top="820" w:bottom="280" w:left="425" w:right="425"/>
          <w:cols w:num="2" w:equalWidth="0">
            <w:col w:w="1644" w:space="2611"/>
            <w:col w:w="6815"/>
          </w:cols>
        </w:sectPr>
      </w:pPr>
    </w:p>
    <w:p>
      <w:pPr>
        <w:pStyle w:val="BodyText"/>
        <w:spacing w:before="158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000-</w:t>
      </w:r>
      <w:r>
        <w:rPr>
          <w:spacing w:val="-4"/>
          <w:w w:val="105"/>
        </w:rPr>
        <w:t>0000</w:t>
      </w:r>
    </w:p>
    <w:p>
      <w:pPr>
        <w:pStyle w:val="BodyText"/>
        <w:spacing w:before="157"/>
      </w:pPr>
    </w:p>
    <w:p>
      <w:pPr>
        <w:pStyle w:val="BodyText"/>
        <w:ind w:left="839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219"/>
        <w:rPr>
          <w:sz w:val="33"/>
        </w:rPr>
      </w:pPr>
      <w:r>
        <w:rPr/>
        <w:br w:type="column"/>
      </w:r>
      <w:r>
        <w:rPr>
          <w:sz w:val="33"/>
        </w:rPr>
      </w:r>
    </w:p>
    <w:p>
      <w:pPr>
        <w:pStyle w:val="Heading1"/>
        <w:ind w:left="839"/>
      </w:pPr>
      <w:r>
        <w:rPr>
          <w:color w:val="0C0C0C"/>
          <w:spacing w:val="-8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425" w:right="425"/>
          <w:cols w:num="2" w:equalWidth="0">
            <w:col w:w="2445" w:space="717"/>
            <w:col w:w="7908"/>
          </w:cols>
        </w:sectPr>
      </w:pPr>
    </w:p>
    <w:p>
      <w:pPr>
        <w:pStyle w:val="BodyText"/>
        <w:spacing w:before="2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820" w:bottom="280" w:left="425" w:right="425"/>
        </w:sectPr>
      </w:pPr>
    </w:p>
    <w:p>
      <w:pPr>
        <w:pStyle w:val="BodyText"/>
        <w:spacing w:before="79"/>
        <w:ind w:left="839"/>
      </w:pPr>
      <w:r>
        <w:rPr>
          <w:spacing w:val="-2"/>
          <w:w w:val="105"/>
        </w:rPr>
        <w:t>LinkedIn</w:t>
      </w:r>
    </w:p>
    <w:p>
      <w:pPr>
        <w:pStyle w:val="BodyText"/>
        <w:spacing w:before="141"/>
      </w:pPr>
    </w:p>
    <w:p>
      <w:pPr>
        <w:pStyle w:val="BodyText"/>
        <w:ind w:left="839"/>
      </w:pPr>
      <w:r>
        <w:rPr>
          <w:spacing w:val="-2"/>
          <w:w w:val="105"/>
        </w:rPr>
        <w:t>Phoenix,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AZ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85004</w:t>
      </w:r>
    </w:p>
    <w:p>
      <w:pPr>
        <w:pStyle w:val="BodyText"/>
      </w:pPr>
    </w:p>
    <w:p>
      <w:pPr>
        <w:pStyle w:val="BodyText"/>
        <w:spacing w:before="174"/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273" w:lineRule="auto" w:before="260"/>
        <w:ind w:left="653" w:right="51"/>
      </w:pPr>
      <w:r>
        <w:rPr>
          <w:w w:val="105"/>
        </w:rPr>
        <w:t>Environmental</w:t>
      </w:r>
      <w:r>
        <w:rPr>
          <w:spacing w:val="-12"/>
          <w:w w:val="105"/>
        </w:rPr>
        <w:t> </w:t>
      </w:r>
      <w:r>
        <w:rPr>
          <w:w w:val="105"/>
        </w:rPr>
        <w:t>program</w:t>
      </w:r>
      <w:r>
        <w:rPr>
          <w:spacing w:val="-12"/>
          <w:w w:val="105"/>
        </w:rPr>
        <w:t> </w:t>
      </w:r>
      <w:r>
        <w:rPr>
          <w:w w:val="105"/>
        </w:rPr>
        <w:t>budgeting and fund tracking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Grant</w:t>
      </w:r>
      <w:r>
        <w:rPr>
          <w:spacing w:val="-14"/>
          <w:w w:val="105"/>
        </w:rPr>
        <w:t> </w:t>
      </w:r>
      <w:r>
        <w:rPr>
          <w:w w:val="105"/>
        </w:rPr>
        <w:t>tracking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compliance </w:t>
      </w:r>
      <w:r>
        <w:rPr>
          <w:spacing w:val="-2"/>
          <w:w w:val="105"/>
        </w:rPr>
        <w:t>monitoring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Public</w:t>
      </w:r>
      <w:r>
        <w:rPr>
          <w:spacing w:val="-14"/>
          <w:w w:val="105"/>
        </w:rPr>
        <w:t> </w:t>
      </w:r>
      <w:r>
        <w:rPr>
          <w:w w:val="105"/>
        </w:rPr>
        <w:t>ﬁnancial</w:t>
      </w:r>
      <w:r>
        <w:rPr>
          <w:spacing w:val="-12"/>
          <w:w w:val="105"/>
        </w:rPr>
        <w:t> </w:t>
      </w:r>
      <w:r>
        <w:rPr>
          <w:w w:val="105"/>
        </w:rPr>
        <w:t>reporting</w:t>
      </w:r>
      <w:r>
        <w:rPr>
          <w:spacing w:val="-11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transparency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documentation</w:t>
      </w:r>
    </w:p>
    <w:p>
      <w:pPr>
        <w:pStyle w:val="BodyText"/>
        <w:spacing w:line="273" w:lineRule="auto" w:before="105"/>
        <w:ind w:left="653" w:right="-5"/>
      </w:pPr>
      <w:r>
        <w:rPr>
          <w:w w:val="105"/>
        </w:rPr>
        <w:t>Renewable energy and sustainability</w:t>
      </w:r>
      <w:r>
        <w:rPr>
          <w:spacing w:val="-12"/>
          <w:w w:val="105"/>
        </w:rPr>
        <w:t> </w:t>
      </w:r>
      <w:r>
        <w:rPr>
          <w:w w:val="105"/>
        </w:rPr>
        <w:t>funding</w:t>
      </w:r>
      <w:r>
        <w:rPr>
          <w:spacing w:val="-12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line="273" w:lineRule="auto" w:before="91"/>
        <w:ind w:left="653" w:right="676"/>
      </w:pPr>
      <w:r>
        <w:rPr>
          <w:w w:val="105"/>
        </w:rPr>
        <w:t>Sustainability</w:t>
      </w:r>
      <w:r>
        <w:rPr>
          <w:spacing w:val="-12"/>
          <w:w w:val="105"/>
        </w:rPr>
        <w:t> </w:t>
      </w:r>
      <w:r>
        <w:rPr>
          <w:w w:val="105"/>
        </w:rPr>
        <w:t>ﬁnance</w:t>
      </w:r>
      <w:r>
        <w:rPr>
          <w:spacing w:val="-12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benchmarking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Budget</w:t>
      </w:r>
      <w:r>
        <w:rPr>
          <w:spacing w:val="-14"/>
          <w:w w:val="105"/>
        </w:rPr>
        <w:t> </w:t>
      </w:r>
      <w:r>
        <w:rPr>
          <w:w w:val="105"/>
        </w:rPr>
        <w:t>proposal</w:t>
      </w:r>
      <w:r>
        <w:rPr>
          <w:spacing w:val="-12"/>
          <w:w w:val="105"/>
        </w:rPr>
        <w:t> </w:t>
      </w:r>
      <w:r>
        <w:rPr>
          <w:w w:val="105"/>
        </w:rPr>
        <w:t>development</w:t>
      </w:r>
      <w:r>
        <w:rPr>
          <w:spacing w:val="-11"/>
          <w:w w:val="105"/>
        </w:rPr>
        <w:t> </w:t>
      </w:r>
      <w:r>
        <w:rPr>
          <w:w w:val="105"/>
        </w:rPr>
        <w:t>and grant alignment</w:t>
      </w:r>
    </w:p>
    <w:p>
      <w:pPr>
        <w:pStyle w:val="BodyText"/>
        <w:spacing w:line="273" w:lineRule="auto" w:before="90"/>
        <w:ind w:left="653"/>
      </w:pPr>
      <w:r>
        <w:rPr>
          <w:w w:val="105"/>
        </w:rPr>
        <w:t>Reporting</w:t>
      </w:r>
      <w:r>
        <w:rPr>
          <w:spacing w:val="-14"/>
          <w:w w:val="105"/>
        </w:rPr>
        <w:t> </w:t>
      </w:r>
      <w:r>
        <w:rPr>
          <w:w w:val="105"/>
        </w:rPr>
        <w:t>tool</w:t>
      </w:r>
      <w:r>
        <w:rPr>
          <w:spacing w:val="-12"/>
          <w:w w:val="105"/>
        </w:rPr>
        <w:t> </w:t>
      </w:r>
      <w:r>
        <w:rPr>
          <w:w w:val="105"/>
        </w:rPr>
        <w:t>implementation</w:t>
      </w:r>
      <w:r>
        <w:rPr>
          <w:spacing w:val="-11"/>
          <w:w w:val="105"/>
        </w:rPr>
        <w:t> </w:t>
      </w:r>
      <w:r>
        <w:rPr>
          <w:w w:val="105"/>
        </w:rPr>
        <w:t>and funder reporting</w:t>
      </w:r>
    </w:p>
    <w:p>
      <w:pPr>
        <w:pStyle w:val="BodyText"/>
        <w:spacing w:line="273" w:lineRule="auto" w:before="91"/>
        <w:ind w:left="653"/>
      </w:pPr>
      <w:r>
        <w:rPr>
          <w:w w:val="105"/>
        </w:rPr>
        <w:t>Clean</w:t>
      </w:r>
      <w:r>
        <w:rPr>
          <w:spacing w:val="-14"/>
          <w:w w:val="105"/>
        </w:rPr>
        <w:t> </w:t>
      </w:r>
      <w:r>
        <w:rPr>
          <w:w w:val="105"/>
        </w:rPr>
        <w:t>energy</w:t>
      </w:r>
      <w:r>
        <w:rPr>
          <w:spacing w:val="-12"/>
          <w:w w:val="105"/>
        </w:rPr>
        <w:t> </w:t>
      </w:r>
      <w:r>
        <w:rPr>
          <w:w w:val="105"/>
        </w:rPr>
        <w:t>program</w:t>
      </w:r>
      <w:r>
        <w:rPr>
          <w:spacing w:val="-11"/>
          <w:w w:val="105"/>
        </w:rPr>
        <w:t> </w:t>
      </w:r>
      <w:r>
        <w:rPr>
          <w:w w:val="105"/>
        </w:rPr>
        <w:t>cost </w:t>
      </w:r>
      <w:r>
        <w:rPr>
          <w:spacing w:val="-2"/>
          <w:w w:val="105"/>
        </w:rPr>
        <w:t>management</w:t>
      </w:r>
    </w:p>
    <w:p>
      <w:pPr>
        <w:pStyle w:val="BodyText"/>
        <w:spacing w:line="273" w:lineRule="auto" w:before="105"/>
        <w:ind w:left="653" w:right="340"/>
      </w:pPr>
      <w:r>
        <w:rPr>
          <w:w w:val="105"/>
        </w:rPr>
        <w:t>Stakeholder</w:t>
      </w:r>
      <w:r>
        <w:rPr>
          <w:spacing w:val="-12"/>
          <w:w w:val="105"/>
        </w:rPr>
        <w:t> </w:t>
      </w:r>
      <w:r>
        <w:rPr>
          <w:w w:val="105"/>
        </w:rPr>
        <w:t>collaboration</w:t>
      </w:r>
      <w:r>
        <w:rPr>
          <w:spacing w:val="-12"/>
          <w:w w:val="105"/>
        </w:rPr>
        <w:t> </w:t>
      </w:r>
      <w:r>
        <w:rPr>
          <w:w w:val="105"/>
        </w:rPr>
        <w:t>with program leads</w:t>
      </w:r>
    </w:p>
    <w:p>
      <w:pPr>
        <w:spacing w:line="261" w:lineRule="auto" w:before="120"/>
        <w:ind w:left="77" w:right="274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Budget Analyst | Oregon Department of Environmental Quality, Portland, OR | April 2021 – 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273" w:lineRule="auto"/>
        <w:ind w:left="616" w:right="319"/>
      </w:pPr>
      <w:r>
        <w:rPr>
          <w:w w:val="105"/>
        </w:rPr>
        <w:t>Track</w:t>
      </w:r>
      <w:r>
        <w:rPr>
          <w:spacing w:val="-1"/>
          <w:w w:val="105"/>
        </w:rPr>
        <w:t> </w:t>
      </w:r>
      <w:r>
        <w:rPr>
          <w:w w:val="105"/>
        </w:rPr>
        <w:t>$25</w:t>
      </w:r>
      <w:r>
        <w:rPr>
          <w:spacing w:val="-1"/>
          <w:w w:val="105"/>
        </w:rPr>
        <w:t> </w:t>
      </w:r>
      <w:r>
        <w:rPr>
          <w:w w:val="105"/>
        </w:rPr>
        <w:t>million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environmental</w:t>
      </w:r>
      <w:r>
        <w:rPr>
          <w:spacing w:val="-1"/>
          <w:w w:val="105"/>
        </w:rPr>
        <w:t> </w:t>
      </w:r>
      <w:r>
        <w:rPr>
          <w:w w:val="105"/>
        </w:rPr>
        <w:t>program</w:t>
      </w:r>
      <w:r>
        <w:rPr>
          <w:spacing w:val="-1"/>
          <w:w w:val="105"/>
        </w:rPr>
        <w:t> </w:t>
      </w:r>
      <w:r>
        <w:rPr>
          <w:w w:val="105"/>
        </w:rPr>
        <w:t>funds,</w:t>
      </w:r>
      <w:r>
        <w:rPr>
          <w:spacing w:val="-1"/>
          <w:w w:val="105"/>
        </w:rPr>
        <w:t> </w:t>
      </w:r>
      <w:r>
        <w:rPr>
          <w:w w:val="105"/>
        </w:rPr>
        <w:t>including</w:t>
      </w:r>
      <w:r>
        <w:rPr>
          <w:spacing w:val="-1"/>
          <w:w w:val="105"/>
        </w:rPr>
        <w:t> </w:t>
      </w:r>
      <w:r>
        <w:rPr>
          <w:w w:val="105"/>
        </w:rPr>
        <w:t>state</w:t>
      </w:r>
      <w:r>
        <w:rPr>
          <w:spacing w:val="-1"/>
          <w:w w:val="105"/>
        </w:rPr>
        <w:t> </w:t>
      </w:r>
      <w:r>
        <w:rPr>
          <w:w w:val="105"/>
        </w:rPr>
        <w:t>appropriations and federal grants across 8 active programs, monitoring obligation rates and compliance with award conditions</w:t>
      </w:r>
    </w:p>
    <w:p>
      <w:pPr>
        <w:pStyle w:val="BodyText"/>
        <w:spacing w:line="273" w:lineRule="auto" w:before="106"/>
        <w:ind w:left="616" w:right="319"/>
      </w:pPr>
      <w:r>
        <w:rPr>
          <w:w w:val="105"/>
        </w:rPr>
        <w:t>Collaborate with 6 program leads to prioritize spending allocations and ensure expenditures align with sustainability benchmarks and agency performance goals</w:t>
      </w:r>
    </w:p>
    <w:p>
      <w:pPr>
        <w:pStyle w:val="BodyText"/>
        <w:spacing w:line="273" w:lineRule="auto" w:before="90"/>
        <w:ind w:left="616"/>
      </w:pPr>
      <w:r>
        <w:rPr>
          <w:w w:val="105"/>
        </w:rPr>
        <w:t>Created public-facing budget summary documents for 4 major programs to promote ﬁscal transparency, supporting community engagement and legislative reporting </w:t>
      </w:r>
      <w:r>
        <w:rPr>
          <w:spacing w:val="-2"/>
          <w:w w:val="105"/>
        </w:rPr>
        <w:t>requirements</w:t>
      </w:r>
    </w:p>
    <w:p>
      <w:pPr>
        <w:pStyle w:val="BodyText"/>
        <w:spacing w:line="273" w:lineRule="auto" w:before="91"/>
        <w:ind w:left="616" w:right="319"/>
      </w:pPr>
      <w:r>
        <w:rPr>
          <w:w w:val="105"/>
        </w:rPr>
        <w:t>Prepare quarterly ﬁnancial status reports for agency leadership and external funders, summarizing actuals versus budget, program outputs, and projected year-end positions</w:t>
      </w:r>
    </w:p>
    <w:p>
      <w:pPr>
        <w:pStyle w:val="BodyText"/>
        <w:spacing w:line="273" w:lineRule="auto" w:before="91"/>
        <w:ind w:left="616" w:right="319"/>
      </w:pPr>
      <w:r>
        <w:rPr>
          <w:w w:val="105"/>
        </w:rPr>
        <w:t>Monitor grant drawdown schedules for 5 federal awards, coordinating with program managers to ensure timely spending and preventing expiration of unobligated </w:t>
      </w:r>
      <w:r>
        <w:rPr>
          <w:spacing w:val="-2"/>
          <w:w w:val="105"/>
        </w:rPr>
        <w:t>balances</w:t>
      </w:r>
    </w:p>
    <w:p>
      <w:pPr>
        <w:pStyle w:val="BodyText"/>
        <w:spacing w:line="273" w:lineRule="auto" w:before="91"/>
        <w:ind w:left="616" w:right="411"/>
      </w:pPr>
      <w:r>
        <w:rPr>
          <w:w w:val="105"/>
        </w:rPr>
        <w:t>Support annual budget formulation by compiling prior-year execution data and projecting forward-year program costs for inclusion in agency budget submissions to the governor's ofﬁce</w:t>
      </w:r>
    </w:p>
    <w:p>
      <w:pPr>
        <w:pStyle w:val="BodyText"/>
        <w:spacing w:before="83"/>
      </w:pPr>
    </w:p>
    <w:p>
      <w:pPr>
        <w:spacing w:line="261" w:lineRule="auto" w:before="0"/>
        <w:ind w:left="77" w:right="411" w:firstLine="0"/>
        <w:jc w:val="left"/>
        <w:rPr>
          <w:sz w:val="18"/>
        </w:rPr>
      </w:pPr>
      <w:r>
        <w:rPr>
          <w:sz w:val="18"/>
        </w:rPr>
        <w:t>Program Finance Coordinator | Green Futures Coalition, Portland, OR | June 2018</w:t>
      </w:r>
      <w:r>
        <w:rPr>
          <w:spacing w:val="80"/>
          <w:sz w:val="18"/>
        </w:rPr>
        <w:t> </w:t>
      </w:r>
      <w:r>
        <w:rPr>
          <w:sz w:val="18"/>
        </w:rPr>
        <w:t>– March 2021</w:t>
      </w:r>
    </w:p>
    <w:p>
      <w:pPr>
        <w:pStyle w:val="BodyText"/>
        <w:spacing w:before="65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73" w:lineRule="auto" w:before="0" w:after="0"/>
        <w:ind w:left="318" w:right="381" w:firstLine="0"/>
        <w:jc w:val="left"/>
        <w:rPr>
          <w:sz w:val="16"/>
        </w:rPr>
      </w:pPr>
      <w:r>
        <w:rPr>
          <w:w w:val="105"/>
          <w:sz w:val="16"/>
        </w:rPr>
        <w:t>Managed funding for clean energy pilot programs totaling $8 million across 4 grant awards, tracking expenditures against approved budgets and coordinating drawdown </w:t>
      </w:r>
      <w:r>
        <w:rPr>
          <w:spacing w:val="-2"/>
          <w:w w:val="105"/>
          <w:sz w:val="16"/>
        </w:rPr>
        <w:t>requests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73" w:lineRule="auto" w:before="121" w:after="0"/>
        <w:ind w:left="318" w:right="490" w:firstLine="0"/>
        <w:jc w:val="left"/>
        <w:rPr>
          <w:sz w:val="16"/>
        </w:rPr>
      </w:pPr>
      <w:r>
        <w:rPr>
          <w:w w:val="105"/>
          <w:sz w:val="16"/>
        </w:rPr>
        <w:t>Collaborated with grant writers to align budget proposals with funder requirements, reviewing budget narratives and justiﬁcations for 6 competitive grant applications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73" w:lineRule="auto" w:before="106" w:after="0"/>
        <w:ind w:left="318" w:right="309" w:firstLine="0"/>
        <w:jc w:val="left"/>
        <w:rPr>
          <w:sz w:val="16"/>
        </w:rPr>
      </w:pPr>
      <w:r>
        <w:rPr>
          <w:w w:val="105"/>
          <w:sz w:val="16"/>
        </w:rPr>
        <w:t>Implemented digital reporting tools that reduced time spent preparing funder reports by 40%, enabling the ﬁnance team to reallocate 8 hours per reporting cycle to program </w:t>
      </w:r>
      <w:r>
        <w:rPr>
          <w:spacing w:val="-2"/>
          <w:w w:val="105"/>
          <w:sz w:val="16"/>
        </w:rPr>
        <w:t>analysis</w:t>
      </w:r>
    </w:p>
    <w:p>
      <w:pPr>
        <w:pStyle w:val="BodyText"/>
        <w:spacing w:before="122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425" w:right="425"/>
          <w:cols w:num="2" w:equalWidth="0">
            <w:col w:w="3231" w:space="694"/>
            <w:col w:w="7145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0869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100869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47950">
                                <a:moveTo>
                                  <a:pt x="47625" y="2626372"/>
                                </a:moveTo>
                                <a:lnTo>
                                  <a:pt x="31102" y="2609850"/>
                                </a:lnTo>
                                <a:lnTo>
                                  <a:pt x="16535" y="2609850"/>
                                </a:lnTo>
                                <a:lnTo>
                                  <a:pt x="0" y="2626372"/>
                                </a:lnTo>
                                <a:lnTo>
                                  <a:pt x="0" y="2628900"/>
                                </a:lnTo>
                                <a:lnTo>
                                  <a:pt x="0" y="2631427"/>
                                </a:lnTo>
                                <a:lnTo>
                                  <a:pt x="16535" y="2647950"/>
                                </a:lnTo>
                                <a:lnTo>
                                  <a:pt x="31102" y="2647950"/>
                                </a:lnTo>
                                <a:lnTo>
                                  <a:pt x="47625" y="2631427"/>
                                </a:lnTo>
                                <a:lnTo>
                                  <a:pt x="47625" y="262637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3286124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4419599"/>
                            <a:ext cx="4762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09800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47625" h="2209800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2098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209800">
                                <a:moveTo>
                                  <a:pt x="47625" y="811047"/>
                                </a:moveTo>
                                <a:lnTo>
                                  <a:pt x="27165" y="790575"/>
                                </a:lnTo>
                                <a:lnTo>
                                  <a:pt x="20472" y="790575"/>
                                </a:lnTo>
                                <a:lnTo>
                                  <a:pt x="0" y="811047"/>
                                </a:lnTo>
                                <a:lnTo>
                                  <a:pt x="0" y="814616"/>
                                </a:lnTo>
                                <a:lnTo>
                                  <a:pt x="0" y="817740"/>
                                </a:lnTo>
                                <a:lnTo>
                                  <a:pt x="20472" y="838200"/>
                                </a:lnTo>
                                <a:lnTo>
                                  <a:pt x="27165" y="838200"/>
                                </a:lnTo>
                                <a:lnTo>
                                  <a:pt x="47625" y="817740"/>
                                </a:lnTo>
                                <a:lnTo>
                                  <a:pt x="47625" y="811047"/>
                                </a:lnTo>
                                <a:close/>
                              </a:path>
                              <a:path w="47625" h="220980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22098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80864" id="docshapegroup1" coordorigin="0,0" coordsize="11415,16860">
                <v:shape style="position:absolute;left:0;top:0;width:4095;height:16860" id="docshape2" coordorigin="0,0" coordsize="4095,16860" path="m4095,0l0,0,0,15885,0,16860,4095,16860,4095,15885,4095,0xe" filled="true" fillcolor="#7da1b6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4170" id="docshape8" coordorigin="780,8070" coordsize="75,4170" path="m855,12206l854,12202,851,12195,849,12192,843,12186,840,12184,833,12181,829,12180,806,12180,802,12181,795,12184,792,12186,786,12192,784,12195,781,12202,780,12206,780,12210,780,12214,781,12218,784,12225,786,12228,792,12234,795,12236,802,12239,806,12240,829,12240,833,12239,840,12236,843,12234,849,12228,851,12225,854,12218,855,12214,855,12206xm855,11687l854,11682,850,11673,848,11669,841,11662,837,11660,828,11656,823,11655,812,11655,807,11656,798,11660,794,11662,787,11669,785,11673,781,11682,780,11687,780,11693,780,11698,781,11703,785,11712,787,11716,794,11723,798,11725,807,11729,812,11730,823,11730,828,11729,837,11725,841,11723,848,11716,850,11712,854,11703,855,11698,855,11687xm855,11177l854,11172,850,11163,848,11159,841,11152,837,11150,828,11146,823,11145,812,11145,807,11146,798,11150,794,11152,787,11159,785,11163,781,11172,780,11177,780,11183,780,11188,781,11193,785,11202,787,11206,794,11213,798,11215,807,11219,812,11220,823,11220,828,11219,837,11215,841,11213,848,11206,850,11202,854,11193,855,11188,855,11177xm855,10667l854,10662,850,10653,848,10649,841,10642,837,10640,828,10636,823,10635,812,10635,807,10636,798,10640,794,10642,787,10649,785,10653,781,10662,780,10667,780,10673,780,10678,781,10683,785,10692,787,10696,794,10703,798,10705,807,10709,812,10710,823,10710,828,10709,837,10705,841,10703,848,10696,850,10692,854,10683,855,10678,855,10667xm855,10157l854,10152,850,10143,848,10139,841,10132,837,10130,828,10126,823,10125,812,10125,807,10126,798,10130,794,10132,787,10139,785,10143,781,10152,780,10157,780,10163,780,10168,781,10173,785,10182,787,10186,794,10193,798,10195,807,10199,812,10200,823,10200,828,10199,837,10195,841,10193,848,10186,850,10182,854,10173,855,10168,855,10157xm855,9647l854,9642,850,9633,848,9629,841,9622,837,9620,828,9616,823,9615,812,9615,807,9616,798,9620,794,9622,787,9629,785,9633,781,9642,780,9647,780,9653,780,9658,781,9663,785,9672,787,9676,794,9683,798,9685,807,9689,812,9690,823,9690,828,9689,837,9685,841,9683,848,9676,850,9672,854,9663,855,9658,855,9647xm855,9122l854,9117,850,9108,848,9104,841,9097,837,9095,828,9091,823,9090,812,9090,807,9091,798,9095,794,9097,787,9104,785,9108,781,9117,780,9122,780,9128,780,9133,781,9138,785,9147,787,9151,794,9158,798,9160,807,9164,812,9165,823,9165,828,9164,837,9160,841,9158,848,9151,850,9147,854,9138,855,9133,855,9122xm855,8612l854,8607,850,8598,848,8594,841,8587,837,8585,828,8581,823,8580,812,8580,807,8581,798,8585,794,8587,787,8594,785,8598,781,8607,780,8612,780,8618,780,8623,781,8628,785,8637,787,8641,794,8648,798,8650,807,8654,812,8655,823,8655,828,8654,837,8650,841,8648,848,8641,850,8637,854,8628,855,8623,855,861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5175;width:7320;height:30" id="docshape9" filled="true" fillcolor="#7da1b6" stroked="false">
                  <v:fill type="solid"/>
                </v:rect>
                <v:shape style="position:absolute;left:4664;top:6960;width:75;height:3480" id="docshape10" coordorigin="4665,6960" coordsize="75,3480" path="m4740,10397l4739,10392,4735,10383,4733,10379,4726,10372,4722,10370,4713,10366,4708,10365,4697,10365,4692,10366,4683,10370,4679,10372,4672,10379,4670,10383,4666,10392,4665,10397,4665,10403,4665,10408,4666,10413,4670,10422,4672,10426,4679,10433,4683,10435,4692,10439,4697,10440,4708,10440,4713,10439,4722,10435,4726,10433,4733,10426,4735,10422,4739,10413,4740,10408,4740,10397xm4740,9677l4739,9672,4735,9663,4733,9659,4726,9652,4722,9650,4713,9646,4708,9645,4697,9645,4692,9646,4683,9650,4679,9652,4672,9659,4670,9663,4666,9672,4665,9677,4665,9683,4665,9688,4666,9693,4670,9702,4672,9706,4679,9713,4683,9715,4692,9719,4697,9720,4708,9720,4713,9719,4722,9715,4726,9713,4733,9706,4735,9702,4739,9693,4740,9688,4740,9677xm4740,8957l4739,8952,4735,8943,4733,8939,4726,8932,4722,8930,4713,8926,4708,8925,4697,8925,4692,8926,4683,8930,4679,8932,4672,8939,4670,8943,4666,8952,4665,8957,4665,8963,4665,8968,4666,8973,4670,8982,4672,8986,4679,8993,4683,8995,4692,8999,4697,9000,4708,9000,4713,8999,4722,8995,4726,8993,4733,8986,4735,8982,4739,8973,4740,8968,4740,8957xm4740,8237l4739,8232,4735,8223,4733,8219,4726,8212,4722,8210,4713,8206,4708,8205,4697,8205,4692,8206,4683,8210,4679,8212,4672,8219,4670,8223,4666,8232,4665,8237,4665,8243,4665,8248,4666,8253,4670,8262,4672,8266,4679,8273,4683,8275,4692,8279,4697,8280,4708,8280,4713,8279,4722,8275,4726,8273,4733,8266,4735,8262,4739,8253,4740,8248,4740,8237xm4740,7712l4739,7707,4735,7698,4733,7694,4726,7687,4722,7685,4713,7681,4708,7680,4697,7680,4692,7681,4683,7685,4679,7687,4672,7694,4670,7698,4666,7707,4665,7712,4665,7718,4665,7723,4666,7728,4670,7737,4672,7741,4679,7748,4683,7750,4692,7754,4697,7755,4708,7755,4713,7754,4722,7750,4726,7748,4733,7741,4735,7737,4739,7728,4740,7723,4740,7712xm4740,6992l4739,6987,4735,6978,4733,6974,4726,6967,4722,6965,4713,6961,4708,6960,4697,6960,4692,6961,4683,6965,4679,6967,4672,6974,4670,6978,4666,6987,4665,6992,4665,6998,4665,7003,4666,7008,4670,7017,4672,7021,4679,7028,4683,7030,4692,7034,4697,7035,4708,7035,4713,7034,4722,7030,4726,7028,4733,7021,4735,7017,4739,7008,4740,7003,4740,69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01"/>
      </w:pPr>
      <w:r>
        <w:rPr/>
        <w:t>Bachelor</w:t>
      </w:r>
      <w:r>
        <w:rPr>
          <w:spacing w:val="11"/>
        </w:rPr>
        <w:t> </w:t>
      </w:r>
      <w:r>
        <w:rPr/>
        <w:t>of</w:t>
      </w:r>
      <w:r>
        <w:rPr>
          <w:spacing w:val="-1"/>
        </w:rPr>
        <w:t> </w:t>
      </w:r>
      <w:r>
        <w:rPr/>
        <w:t>Arts</w:t>
      </w:r>
      <w:r>
        <w:rPr>
          <w:spacing w:val="11"/>
        </w:rPr>
        <w:t> </w:t>
      </w:r>
      <w:r>
        <w:rPr/>
        <w:t>(B.A.)</w:t>
      </w:r>
      <w:r>
        <w:rPr>
          <w:spacing w:val="11"/>
        </w:rPr>
        <w:t> </w:t>
      </w:r>
      <w:r>
        <w:rPr/>
        <w:t>in</w:t>
      </w:r>
      <w:r>
        <w:rPr>
          <w:spacing w:val="11"/>
        </w:rPr>
        <w:t> </w:t>
      </w:r>
      <w:r>
        <w:rPr/>
        <w:t>Environmental</w:t>
      </w:r>
      <w:r>
        <w:rPr>
          <w:spacing w:val="11"/>
        </w:rPr>
        <w:t> </w:t>
      </w:r>
      <w:r>
        <w:rPr>
          <w:spacing w:val="-2"/>
        </w:rPr>
        <w:t>Policy</w:t>
      </w:r>
    </w:p>
    <w:p>
      <w:pPr>
        <w:pStyle w:val="BodyText"/>
        <w:spacing w:before="22"/>
        <w:ind w:left="4001"/>
      </w:pPr>
      <w:r>
        <w:rPr>
          <w:spacing w:val="-2"/>
          <w:w w:val="105"/>
        </w:rPr>
        <w:t>Portland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University, Portland,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82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18" w:hanging="13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49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2" w:hanging="13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4" w:hanging="13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67" w:hanging="13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9" w:hanging="13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1" w:hanging="13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14" w:hanging="13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6" w:hanging="13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79" w:hanging="13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18" w:right="309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2026-03-12T14:58:52Z</dcterms:created>
  <dcterms:modified xsi:type="dcterms:W3CDTF">2026-03-12T14:58:52Z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