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3" w:right="11" w:firstLine="0"/>
        <w:jc w:val="center"/>
        <w:rPr>
          <w:rFonts w:ascii="Microsoft Sans Serif"/>
          <w:sz w:val="82"/>
        </w:rPr>
      </w:pPr>
      <w:r>
        <w:rPr>
          <w:b/>
          <w:color w:val="FFFFFF"/>
          <w:sz w:val="82"/>
        </w:rPr>
        <w:t>Drew</w:t>
      </w:r>
      <w:r>
        <w:rPr>
          <w:b/>
          <w:color w:val="FFFFFF"/>
          <w:spacing w:val="-33"/>
          <w:w w:val="150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Thompson</w:t>
      </w:r>
    </w:p>
    <w:p>
      <w:pPr>
        <w:pStyle w:val="Heading2"/>
      </w:pPr>
      <w:r>
        <w:rPr>
          <w:color w:val="FFFFFF"/>
        </w:rPr>
        <w:t>Budget</w:t>
      </w:r>
      <w:r>
        <w:rPr>
          <w:color w:val="FFFFFF"/>
          <w:spacing w:val="37"/>
        </w:rPr>
        <w:t> </w:t>
      </w:r>
      <w:r>
        <w:rPr>
          <w:color w:val="FFFFFF"/>
        </w:rPr>
        <w:t>Management</w:t>
      </w:r>
      <w:r>
        <w:rPr>
          <w:color w:val="FFFFFF"/>
          <w:spacing w:val="37"/>
        </w:rPr>
        <w:t> </w:t>
      </w:r>
      <w:r>
        <w:rPr>
          <w:color w:val="FFFFFF"/>
          <w:spacing w:val="-2"/>
        </w:rPr>
        <w:t>Analyst</w:t>
      </w:r>
    </w:p>
    <w:p>
      <w:pPr>
        <w:spacing w:line="273" w:lineRule="auto" w:before="160"/>
        <w:ind w:left="590" w:right="172" w:firstLine="0"/>
        <w:jc w:val="left"/>
        <w:rPr>
          <w:sz w:val="18"/>
        </w:rPr>
      </w:pPr>
      <w:r>
        <w:rPr>
          <w:color w:val="FFFFFF"/>
          <w:w w:val="105"/>
          <w:sz w:val="18"/>
        </w:rPr>
        <w:t>Finance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professional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with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6+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years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overseeing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operational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budgets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driving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cost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reduction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through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data-driven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process improvement.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Manages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a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$96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million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operational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budget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supporting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5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statewide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initiatives,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identiﬁed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$4.1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million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in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savings through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w w:val="105"/>
          <w:sz w:val="18"/>
        </w:rPr>
        <w:t>vendor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w w:val="105"/>
          <w:sz w:val="18"/>
        </w:rPr>
        <w:t>contract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w w:val="105"/>
          <w:sz w:val="18"/>
        </w:rPr>
        <w:t>analysis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w w:val="105"/>
          <w:sz w:val="18"/>
        </w:rPr>
        <w:t>stafﬁng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w w:val="105"/>
          <w:sz w:val="18"/>
        </w:rPr>
        <w:t>adjustments,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w w:val="105"/>
          <w:sz w:val="18"/>
        </w:rPr>
        <w:t>reduced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w w:val="105"/>
          <w:sz w:val="18"/>
        </w:rPr>
        <w:t>quarterly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w w:val="105"/>
          <w:sz w:val="18"/>
        </w:rPr>
        <w:t>reporting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w w:val="105"/>
          <w:sz w:val="18"/>
        </w:rPr>
        <w:t>time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w w:val="105"/>
          <w:sz w:val="18"/>
        </w:rPr>
        <w:t>by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w w:val="105"/>
          <w:sz w:val="18"/>
        </w:rPr>
        <w:t>35%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w w:val="105"/>
          <w:sz w:val="18"/>
        </w:rPr>
        <w:t>through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w w:val="105"/>
          <w:sz w:val="18"/>
        </w:rPr>
        <w:t>template standardization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w w:val="105"/>
          <w:sz w:val="18"/>
        </w:rPr>
        <w:t>at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w w:val="105"/>
          <w:sz w:val="18"/>
        </w:rPr>
        <w:t>California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w w:val="105"/>
          <w:sz w:val="18"/>
        </w:rPr>
        <w:t>Department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w w:val="105"/>
          <w:sz w:val="18"/>
        </w:rPr>
        <w:t>of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w w:val="105"/>
          <w:sz w:val="18"/>
        </w:rPr>
        <w:t>Health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w w:val="105"/>
          <w:sz w:val="18"/>
        </w:rPr>
        <w:t>Services.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w w:val="105"/>
          <w:sz w:val="18"/>
        </w:rPr>
        <w:t>Expert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w w:val="105"/>
          <w:sz w:val="18"/>
        </w:rPr>
        <w:t>in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w w:val="105"/>
          <w:sz w:val="18"/>
        </w:rPr>
        <w:t>budget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w w:val="105"/>
          <w:sz w:val="18"/>
        </w:rPr>
        <w:t>oversight,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w w:val="105"/>
          <w:sz w:val="18"/>
        </w:rPr>
        <w:t>business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w w:val="105"/>
          <w:sz w:val="18"/>
        </w:rPr>
        <w:t>planning,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w w:val="105"/>
          <w:sz w:val="18"/>
        </w:rPr>
        <w:t>performance metrics, and aligning budget execution with agency strategic objectives.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60" w:bottom="0" w:left="283" w:right="283"/>
        </w:sectPr>
      </w:pPr>
    </w:p>
    <w:p>
      <w:pPr>
        <w:pStyle w:val="Heading1"/>
        <w:spacing w:before="102"/>
      </w:pPr>
      <w:r>
        <w:rPr>
          <w:smallCaps/>
          <w:color w:val="0C0C0C"/>
          <w:spacing w:val="-2"/>
        </w:rPr>
        <w:t>Contact</w:t>
      </w:r>
    </w:p>
    <w:p>
      <w:pPr>
        <w:pStyle w:val="BodyText"/>
        <w:spacing w:before="8"/>
        <w:rPr>
          <w:b/>
          <w:sz w:val="28"/>
        </w:rPr>
      </w:pPr>
    </w:p>
    <w:p>
      <w:pPr>
        <w:tabs>
          <w:tab w:pos="795" w:val="left" w:leader="none"/>
        </w:tabs>
        <w:spacing w:before="1"/>
        <w:ind w:left="272" w:right="0" w:firstLine="0"/>
        <w:jc w:val="left"/>
        <w:rPr>
          <w:sz w:val="18"/>
        </w:rPr>
      </w:pPr>
      <w:r>
        <w:rPr>
          <w:position w:val="-7"/>
        </w:rPr>
        <w:drawing>
          <wp:inline distT="0" distB="0" distL="0" distR="0">
            <wp:extent cx="165346" cy="165342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  <w:sz w:val="18"/>
        </w:rPr>
        <w:t>(555)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w w:val="105"/>
          <w:sz w:val="18"/>
        </w:rPr>
        <w:t>000-</w:t>
      </w:r>
      <w:r>
        <w:rPr>
          <w:color w:val="424242"/>
          <w:spacing w:val="-4"/>
          <w:w w:val="105"/>
          <w:sz w:val="18"/>
        </w:rPr>
        <w:t>0000</w:t>
      </w:r>
    </w:p>
    <w:p>
      <w:pPr>
        <w:pStyle w:val="BodyText"/>
        <w:spacing w:before="102"/>
        <w:rPr>
          <w:sz w:val="18"/>
        </w:rPr>
      </w:pPr>
    </w:p>
    <w:p>
      <w:pPr>
        <w:tabs>
          <w:tab w:pos="795" w:val="left" w:leader="none"/>
        </w:tabs>
        <w:spacing w:line="501" w:lineRule="auto" w:before="0"/>
        <w:ind w:left="272" w:right="192" w:firstLine="0"/>
        <w:jc w:val="left"/>
        <w:rPr>
          <w:sz w:val="18"/>
        </w:rPr>
      </w:pP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z w:val="20"/>
        </w:rPr>
        <w:tab/>
      </w:r>
      <w:hyperlink r:id="rId7">
        <w:r>
          <w:rPr>
            <w:color w:val="424242"/>
            <w:spacing w:val="-2"/>
            <w:sz w:val="18"/>
          </w:rPr>
          <w:t>email@example.com</w:t>
        </w:r>
      </w:hyperlink>
      <w:r>
        <w:rPr>
          <w:color w:val="424242"/>
          <w:spacing w:val="-2"/>
          <w:sz w:val="18"/>
        </w:rPr>
        <w:t> </w:t>
      </w:r>
      <w:r>
        <w:rPr>
          <w:color w:val="424242"/>
          <w:position w:val="-5"/>
          <w:sz w:val="18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5"/>
          <w:sz w:val="18"/>
        </w:rPr>
      </w:r>
      <w:r>
        <w:rPr>
          <w:rFonts w:ascii="Times New Roman"/>
          <w:color w:val="424242"/>
          <w:sz w:val="18"/>
        </w:rPr>
        <w:tab/>
      </w:r>
      <w:r>
        <w:rPr>
          <w:color w:val="424242"/>
          <w:spacing w:val="-2"/>
          <w:w w:val="105"/>
          <w:sz w:val="18"/>
        </w:rPr>
        <w:t>LinkedIn</w:t>
      </w:r>
    </w:p>
    <w:p>
      <w:pPr>
        <w:tabs>
          <w:tab w:pos="795" w:val="left" w:leader="none"/>
        </w:tabs>
        <w:spacing w:before="98"/>
        <w:ind w:left="272" w:right="0" w:firstLine="0"/>
        <w:jc w:val="left"/>
        <w:rPr>
          <w:sz w:val="18"/>
        </w:rPr>
      </w:pPr>
      <w:r>
        <w:rPr>
          <w:position w:val="-7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  <w:sz w:val="18"/>
        </w:rPr>
        <w:t>Sacramento,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w w:val="105"/>
          <w:sz w:val="18"/>
        </w:rPr>
        <w:t>CA</w:t>
      </w:r>
      <w:r>
        <w:rPr>
          <w:color w:val="424242"/>
          <w:spacing w:val="-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95814</w:t>
      </w:r>
    </w:p>
    <w:p>
      <w:pPr>
        <w:pStyle w:val="BodyText"/>
        <w:spacing w:before="118"/>
        <w:rPr>
          <w:sz w:val="18"/>
        </w:rPr>
      </w:pPr>
    </w:p>
    <w:p>
      <w:pPr>
        <w:pStyle w:val="Heading1"/>
      </w:pPr>
      <w:r>
        <w:rPr>
          <w:smallCaps/>
          <w:color w:val="0C0C0C"/>
          <w:spacing w:val="-2"/>
        </w:rPr>
        <w:t>Key</w:t>
      </w:r>
      <w:r>
        <w:rPr>
          <w:smallCaps/>
          <w:color w:val="0C0C0C"/>
          <w:spacing w:val="-15"/>
        </w:rPr>
        <w:t> </w:t>
      </w:r>
      <w:r>
        <w:rPr>
          <w:smallCaps/>
          <w:color w:val="0C0C0C"/>
          <w:spacing w:val="-2"/>
        </w:rPr>
        <w:t>Skills</w:t>
      </w:r>
    </w:p>
    <w:p>
      <w:pPr>
        <w:spacing w:before="222"/>
        <w:ind w:left="51" w:right="0" w:firstLine="0"/>
        <w:jc w:val="left"/>
        <w:rPr>
          <w:b/>
          <w:sz w:val="35"/>
        </w:rPr>
      </w:pPr>
      <w:r>
        <w:rPr/>
        <w:br w:type="column"/>
      </w:r>
      <w:r>
        <w:rPr>
          <w:b/>
          <w:smallCaps/>
          <w:color w:val="F5F5F5"/>
          <w:spacing w:val="-4"/>
          <w:sz w:val="35"/>
        </w:rPr>
        <w:t>Professional</w:t>
      </w:r>
      <w:r>
        <w:rPr>
          <w:b/>
          <w:smallCaps/>
          <w:color w:val="F5F5F5"/>
          <w:spacing w:val="-2"/>
          <w:sz w:val="35"/>
        </w:rPr>
        <w:t> Experience</w:t>
      </w:r>
    </w:p>
    <w:p>
      <w:pPr>
        <w:pStyle w:val="BodyText"/>
        <w:spacing w:before="188"/>
        <w:rPr>
          <w:b/>
          <w:sz w:val="28"/>
        </w:rPr>
      </w:pPr>
    </w:p>
    <w:p>
      <w:pPr>
        <w:spacing w:line="268" w:lineRule="auto" w:before="0"/>
        <w:ind w:left="125" w:right="157" w:firstLine="0"/>
        <w:jc w:val="left"/>
        <w:rPr>
          <w:sz w:val="18"/>
        </w:rPr>
      </w:pPr>
      <w:r>
        <w:rPr>
          <w:w w:val="105"/>
          <w:sz w:val="18"/>
        </w:rPr>
        <w:t>Budget Management Analyst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California Department of Health Services, Sacramento, CA</w:t>
      </w:r>
    </w:p>
    <w:p>
      <w:pPr>
        <w:spacing w:before="8"/>
        <w:ind w:left="125" w:right="0" w:firstLine="0"/>
        <w:jc w:val="left"/>
        <w:rPr>
          <w:sz w:val="18"/>
        </w:rPr>
      </w:pPr>
      <w:r>
        <w:rPr>
          <w:w w:val="105"/>
          <w:sz w:val="18"/>
        </w:rPr>
        <w:t>January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2021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–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Present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273" w:lineRule="auto" w:before="202" w:after="0"/>
        <w:ind w:left="572" w:right="441" w:firstLine="0"/>
        <w:jc w:val="both"/>
        <w:rPr>
          <w:sz w:val="16"/>
        </w:rPr>
      </w:pPr>
      <w:r>
        <w:rPr>
          <w:w w:val="105"/>
          <w:sz w:val="16"/>
        </w:rPr>
        <w:t>Manage $96 million operational budget supporting 5 statewide health initiatives, tracking monthly actuals against approved plans, and producing executive-ready variance reports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273" w:lineRule="auto" w:before="91" w:after="0"/>
        <w:ind w:left="572" w:right="472" w:firstLine="0"/>
        <w:jc w:val="both"/>
        <w:rPr>
          <w:sz w:val="16"/>
        </w:rPr>
      </w:pPr>
      <w:r>
        <w:rPr>
          <w:w w:val="105"/>
          <w:sz w:val="16"/>
        </w:rPr>
        <w:t>Collaborate with 5 program directors to optimize spending allocations and align budget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execution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agency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strategic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objectives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legislative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mandates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273" w:lineRule="auto" w:before="57" w:after="0"/>
        <w:ind w:left="572" w:right="281" w:firstLine="0"/>
        <w:jc w:val="left"/>
        <w:rPr>
          <w:sz w:val="16"/>
        </w:rPr>
      </w:pPr>
      <w:r>
        <w:rPr>
          <w:w w:val="105"/>
          <w:sz w:val="16"/>
        </w:rPr>
        <w:t>Identified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$4.1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million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annualized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savings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vendor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contract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renegotiation 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staffing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restructuring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analysis,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presenting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recommendations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CFO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 department leadership</w:t>
      </w:r>
    </w:p>
    <w:p>
      <w:pPr>
        <w:pStyle w:val="ListParagraph"/>
        <w:spacing w:after="0" w:line="273" w:lineRule="auto"/>
        <w:jc w:val="left"/>
        <w:rPr>
          <w:sz w:val="16"/>
        </w:rPr>
        <w:sectPr>
          <w:type w:val="continuous"/>
          <w:pgSz w:w="11920" w:h="16860"/>
          <w:pgMar w:top="760" w:bottom="0" w:left="283" w:right="283"/>
          <w:cols w:num="2" w:equalWidth="0">
            <w:col w:w="2789" w:space="1173"/>
            <w:col w:w="7392"/>
          </w:cols>
        </w:sectPr>
      </w:pPr>
    </w:p>
    <w:p>
      <w:pPr>
        <w:pStyle w:val="ListParagraph"/>
        <w:numPr>
          <w:ilvl w:val="0"/>
          <w:numId w:val="2"/>
        </w:numPr>
        <w:tabs>
          <w:tab w:pos="570" w:val="left" w:leader="none"/>
          <w:tab w:pos="572" w:val="left" w:leader="none"/>
        </w:tabs>
        <w:spacing w:line="201" w:lineRule="auto" w:before="27" w:after="0"/>
        <w:ind w:left="572" w:right="62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Budget oversight and execution </w:t>
      </w:r>
      <w:r>
        <w:rPr>
          <w:color w:val="424242"/>
          <w:spacing w:val="-2"/>
          <w:w w:val="105"/>
          <w:sz w:val="18"/>
        </w:rPr>
        <w:t>monitoring</w:t>
      </w:r>
    </w:p>
    <w:p>
      <w:pPr>
        <w:pStyle w:val="ListParagraph"/>
        <w:numPr>
          <w:ilvl w:val="0"/>
          <w:numId w:val="2"/>
        </w:numPr>
        <w:tabs>
          <w:tab w:pos="570" w:val="left" w:leader="none"/>
          <w:tab w:pos="572" w:val="left" w:leader="none"/>
        </w:tabs>
        <w:spacing w:line="204" w:lineRule="auto" w:before="77" w:after="0"/>
        <w:ind w:left="572" w:right="38" w:hanging="298"/>
        <w:jc w:val="left"/>
        <w:rPr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Business planning and strategic </w:t>
      </w:r>
      <w:r>
        <w:rPr>
          <w:color w:val="424242"/>
          <w:spacing w:val="-2"/>
          <w:w w:val="105"/>
          <w:sz w:val="18"/>
        </w:rPr>
        <w:t>alignment</w:t>
      </w:r>
    </w:p>
    <w:p>
      <w:pPr>
        <w:pStyle w:val="ListParagraph"/>
        <w:numPr>
          <w:ilvl w:val="0"/>
          <w:numId w:val="2"/>
        </w:numPr>
        <w:tabs>
          <w:tab w:pos="570" w:val="left" w:leader="none"/>
          <w:tab w:pos="572" w:val="left" w:leader="none"/>
        </w:tabs>
        <w:spacing w:line="189" w:lineRule="auto" w:before="108" w:after="0"/>
        <w:ind w:left="572" w:right="394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Cost analysis and reduction </w:t>
      </w:r>
      <w:r>
        <w:rPr>
          <w:color w:val="424242"/>
          <w:spacing w:val="-2"/>
          <w:w w:val="105"/>
          <w:sz w:val="18"/>
        </w:rPr>
        <w:t>strategy</w:t>
      </w:r>
    </w:p>
    <w:p>
      <w:pPr>
        <w:pStyle w:val="ListParagraph"/>
        <w:numPr>
          <w:ilvl w:val="0"/>
          <w:numId w:val="2"/>
        </w:numPr>
        <w:tabs>
          <w:tab w:pos="570" w:val="left" w:leader="none"/>
          <w:tab w:pos="572" w:val="left" w:leader="none"/>
        </w:tabs>
        <w:spacing w:line="201" w:lineRule="auto" w:before="97" w:after="0"/>
        <w:ind w:left="572" w:right="249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Performance metrics and KPI </w:t>
      </w:r>
      <w:r>
        <w:rPr>
          <w:color w:val="424242"/>
          <w:spacing w:val="-2"/>
          <w:w w:val="105"/>
          <w:sz w:val="18"/>
        </w:rPr>
        <w:t>reporting</w:t>
      </w:r>
    </w:p>
    <w:p>
      <w:pPr>
        <w:pStyle w:val="ListParagraph"/>
        <w:numPr>
          <w:ilvl w:val="0"/>
          <w:numId w:val="2"/>
        </w:numPr>
        <w:tabs>
          <w:tab w:pos="570" w:val="left" w:leader="none"/>
          <w:tab w:pos="572" w:val="left" w:leader="none"/>
        </w:tabs>
        <w:spacing w:line="182" w:lineRule="auto" w:before="99" w:after="0"/>
        <w:ind w:left="572" w:right="237" w:hanging="298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Develop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rolling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12-month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forecast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models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incorporating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program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utilization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data, reducing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forecast-to-actual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variance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20%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over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prior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approach</w:t>
      </w:r>
    </w:p>
    <w:p>
      <w:pPr>
        <w:pStyle w:val="ListParagraph"/>
        <w:numPr>
          <w:ilvl w:val="0"/>
          <w:numId w:val="2"/>
        </w:numPr>
        <w:tabs>
          <w:tab w:pos="570" w:val="left" w:leader="none"/>
          <w:tab w:pos="572" w:val="left" w:leader="none"/>
        </w:tabs>
        <w:spacing w:line="182" w:lineRule="auto" w:before="99" w:after="0"/>
        <w:ind w:left="572" w:right="69" w:hanging="298"/>
        <w:jc w:val="left"/>
        <w:rPr>
          <w:position w:val="-5"/>
          <w:sz w:val="31"/>
        </w:rPr>
      </w:pPr>
      <w:r>
        <w:rPr>
          <w:w w:val="105"/>
          <w:sz w:val="16"/>
        </w:rPr>
        <w:t>Prepare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monthly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performance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metric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dashboards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tracking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budget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execution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rates, program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outputs,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cost-per-service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metrics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5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program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directors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agency</w:t>
      </w:r>
    </w:p>
    <w:p>
      <w:pPr>
        <w:pStyle w:val="BodyText"/>
        <w:spacing w:before="34"/>
        <w:ind w:left="572"/>
      </w:pPr>
      <w:r>
        <w:rPr>
          <w:spacing w:val="-2"/>
          <w:w w:val="105"/>
        </w:rPr>
        <w:t>leadership</w:t>
      </w:r>
    </w:p>
    <w:p>
      <w:pPr>
        <w:pStyle w:val="ListParagraph"/>
        <w:numPr>
          <w:ilvl w:val="0"/>
          <w:numId w:val="2"/>
        </w:numPr>
        <w:tabs>
          <w:tab w:pos="570" w:val="left" w:leader="none"/>
          <w:tab w:pos="572" w:val="left" w:leader="none"/>
        </w:tabs>
        <w:spacing w:line="182" w:lineRule="auto" w:before="91" w:after="0"/>
        <w:ind w:left="572" w:right="238" w:hanging="298"/>
        <w:jc w:val="left"/>
        <w:rPr>
          <w:position w:val="-5"/>
          <w:sz w:val="31"/>
        </w:rPr>
      </w:pPr>
      <w:r>
        <w:rPr>
          <w:w w:val="105"/>
          <w:sz w:val="16"/>
        </w:rPr>
        <w:t>Lead quarterly budget review meetings with program staff, reviewing YTD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performance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adjusting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forward-year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projections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based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program</w:t>
      </w:r>
      <w:r>
        <w:rPr>
          <w:spacing w:val="33"/>
          <w:w w:val="105"/>
          <w:sz w:val="16"/>
        </w:rPr>
        <w:t> </w:t>
      </w:r>
      <w:r>
        <w:rPr>
          <w:spacing w:val="-2"/>
          <w:w w:val="105"/>
          <w:sz w:val="16"/>
        </w:rPr>
        <w:t>changes</w:t>
      </w:r>
    </w:p>
    <w:p>
      <w:pPr>
        <w:pStyle w:val="BodyText"/>
        <w:spacing w:before="35"/>
        <w:ind w:left="572"/>
      </w:pPr>
      <w:r>
        <w:rPr>
          <w:w w:val="105"/>
        </w:rPr>
        <w:t>or</w:t>
      </w:r>
      <w:r>
        <w:rPr>
          <w:spacing w:val="21"/>
          <w:w w:val="105"/>
        </w:rPr>
        <w:t> </w:t>
      </w:r>
      <w:r>
        <w:rPr>
          <w:w w:val="105"/>
        </w:rPr>
        <w:t>policy</w:t>
      </w:r>
      <w:r>
        <w:rPr>
          <w:spacing w:val="21"/>
          <w:w w:val="105"/>
        </w:rPr>
        <w:t> </w:t>
      </w:r>
      <w:r>
        <w:rPr>
          <w:spacing w:val="-2"/>
          <w:w w:val="105"/>
        </w:rPr>
        <w:t>updates</w:t>
      </w:r>
    </w:p>
    <w:p>
      <w:pPr>
        <w:pStyle w:val="BodyText"/>
        <w:spacing w:after="0"/>
        <w:sectPr>
          <w:type w:val="continuous"/>
          <w:pgSz w:w="11920" w:h="16860"/>
          <w:pgMar w:top="760" w:bottom="0" w:left="283" w:right="283"/>
          <w:cols w:num="2" w:equalWidth="0">
            <w:col w:w="3349" w:space="911"/>
            <w:col w:w="7094"/>
          </w:cols>
        </w:sectPr>
      </w:pPr>
    </w:p>
    <w:p>
      <w:pPr>
        <w:pStyle w:val="ListParagraph"/>
        <w:numPr>
          <w:ilvl w:val="0"/>
          <w:numId w:val="2"/>
        </w:numPr>
        <w:tabs>
          <w:tab w:pos="570" w:val="left" w:leader="none"/>
          <w:tab w:pos="572" w:val="left" w:leader="none"/>
        </w:tabs>
        <w:spacing w:line="201" w:lineRule="auto" w:before="82" w:after="0"/>
        <w:ind w:left="572" w:right="38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Strategic alignment with agency </w:t>
      </w:r>
      <w:r>
        <w:rPr>
          <w:color w:val="424242"/>
          <w:spacing w:val="-2"/>
          <w:w w:val="105"/>
          <w:sz w:val="18"/>
        </w:rPr>
        <w:t>objectives</w:t>
      </w:r>
    </w:p>
    <w:p>
      <w:pPr>
        <w:spacing w:line="268" w:lineRule="auto" w:before="129"/>
        <w:ind w:left="274" w:right="397" w:firstLine="0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Assistant Budget Analyst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Office of Statewide Health Planning, Sacramento, CA August 2017 – December 2020</w:t>
      </w:r>
    </w:p>
    <w:p>
      <w:pPr>
        <w:spacing w:after="0" w:line="268" w:lineRule="auto"/>
        <w:jc w:val="left"/>
        <w:rPr>
          <w:sz w:val="18"/>
        </w:rPr>
        <w:sectPr>
          <w:type w:val="continuous"/>
          <w:pgSz w:w="11920" w:h="16860"/>
          <w:pgMar w:top="760" w:bottom="0" w:left="283" w:right="283"/>
          <w:cols w:num="2" w:equalWidth="0">
            <w:col w:w="3348" w:space="465"/>
            <w:col w:w="7541"/>
          </w:cols>
        </w:sectPr>
      </w:pPr>
    </w:p>
    <w:p>
      <w:pPr>
        <w:pStyle w:val="ListParagraph"/>
        <w:numPr>
          <w:ilvl w:val="0"/>
          <w:numId w:val="2"/>
        </w:numPr>
        <w:tabs>
          <w:tab w:pos="570" w:val="left" w:leader="none"/>
          <w:tab w:pos="572" w:val="left" w:leader="none"/>
        </w:tabs>
        <w:spacing w:line="189" w:lineRule="auto" w:before="51" w:after="0"/>
        <w:ind w:left="572" w:right="241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Vendor contract analysis and negotiation support</w:t>
      </w:r>
    </w:p>
    <w:p>
      <w:pPr>
        <w:pStyle w:val="ListParagraph"/>
        <w:numPr>
          <w:ilvl w:val="0"/>
          <w:numId w:val="2"/>
        </w:numPr>
        <w:tabs>
          <w:tab w:pos="570" w:val="left" w:leader="none"/>
          <w:tab w:pos="572" w:val="left" w:leader="none"/>
        </w:tabs>
        <w:spacing w:line="201" w:lineRule="auto" w:before="98" w:after="0"/>
        <w:ind w:left="572" w:right="38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Variance reporting and forecast </w:t>
      </w:r>
      <w:r>
        <w:rPr>
          <w:color w:val="424242"/>
          <w:spacing w:val="-2"/>
          <w:w w:val="105"/>
          <w:sz w:val="18"/>
        </w:rPr>
        <w:t>revision</w:t>
      </w:r>
    </w:p>
    <w:p>
      <w:pPr>
        <w:pStyle w:val="ListParagraph"/>
        <w:numPr>
          <w:ilvl w:val="0"/>
          <w:numId w:val="2"/>
        </w:numPr>
        <w:tabs>
          <w:tab w:pos="570" w:val="left" w:leader="none"/>
          <w:tab w:pos="572" w:val="left" w:leader="none"/>
        </w:tabs>
        <w:spacing w:line="201" w:lineRule="auto" w:before="82" w:after="0"/>
        <w:ind w:left="572" w:right="656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Executive-level financial </w:t>
      </w:r>
      <w:r>
        <w:rPr>
          <w:color w:val="424242"/>
          <w:spacing w:val="-2"/>
          <w:w w:val="105"/>
          <w:sz w:val="18"/>
        </w:rPr>
        <w:t>reporting</w:t>
      </w:r>
    </w:p>
    <w:p>
      <w:pPr>
        <w:pStyle w:val="ListParagraph"/>
        <w:numPr>
          <w:ilvl w:val="0"/>
          <w:numId w:val="2"/>
        </w:numPr>
        <w:tabs>
          <w:tab w:pos="570" w:val="left" w:leader="none"/>
          <w:tab w:pos="572" w:val="left" w:leader="none"/>
        </w:tabs>
        <w:spacing w:line="189" w:lineRule="auto" w:before="109" w:after="0"/>
        <w:ind w:left="572" w:right="1095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Reporting template </w:t>
      </w:r>
      <w:r>
        <w:rPr>
          <w:color w:val="424242"/>
          <w:spacing w:val="-2"/>
          <w:w w:val="105"/>
          <w:sz w:val="18"/>
        </w:rPr>
        <w:t>standardization</w:t>
      </w:r>
    </w:p>
    <w:p>
      <w:pPr>
        <w:pStyle w:val="BodyText"/>
        <w:spacing w:before="2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2"/>
        </w:numPr>
        <w:tabs>
          <w:tab w:pos="570" w:val="left" w:leader="none"/>
          <w:tab w:pos="572" w:val="left" w:leader="none"/>
        </w:tabs>
        <w:spacing w:line="182" w:lineRule="auto" w:before="0" w:after="0"/>
        <w:ind w:left="572" w:right="428" w:hanging="298"/>
        <w:jc w:val="left"/>
        <w:rPr>
          <w:position w:val="-5"/>
          <w:sz w:val="31"/>
        </w:rPr>
      </w:pPr>
      <w:r>
        <w:rPr>
          <w:w w:val="105"/>
          <w:sz w:val="16"/>
        </w:rPr>
        <w:t>Tracked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budget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execution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spending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8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public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health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grants,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preparing obligation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reports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monitoring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drawdown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schedules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against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award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periods</w:t>
      </w:r>
    </w:p>
    <w:p>
      <w:pPr>
        <w:pStyle w:val="ListParagraph"/>
        <w:numPr>
          <w:ilvl w:val="0"/>
          <w:numId w:val="2"/>
        </w:numPr>
        <w:tabs>
          <w:tab w:pos="570" w:val="left" w:leader="none"/>
          <w:tab w:pos="572" w:val="left" w:leader="none"/>
        </w:tabs>
        <w:spacing w:line="182" w:lineRule="auto" w:before="100" w:after="0"/>
        <w:ind w:left="572" w:right="191" w:hanging="298"/>
        <w:jc w:val="left"/>
        <w:rPr>
          <w:position w:val="-5"/>
          <w:sz w:val="31"/>
        </w:rPr>
      </w:pPr>
      <w:r>
        <w:rPr>
          <w:w w:val="105"/>
          <w:sz w:val="16"/>
        </w:rPr>
        <w:t>Delivered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variance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reports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4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division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heads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data-driven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recommendations to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reduce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excess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spending,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contributing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12%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reduction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year-end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unspent</w:t>
      </w:r>
    </w:p>
    <w:p>
      <w:pPr>
        <w:pStyle w:val="BodyText"/>
        <w:spacing w:before="34"/>
        <w:ind w:left="572"/>
      </w:pPr>
      <w:r>
        <w:rPr>
          <w:spacing w:val="-2"/>
          <w:w w:val="105"/>
        </w:rPr>
        <w:t>balances</w:t>
      </w:r>
    </w:p>
    <w:p>
      <w:pPr>
        <w:pStyle w:val="ListParagraph"/>
        <w:numPr>
          <w:ilvl w:val="0"/>
          <w:numId w:val="2"/>
        </w:numPr>
        <w:tabs>
          <w:tab w:pos="570" w:val="left" w:leader="none"/>
          <w:tab w:pos="572" w:val="left" w:leader="none"/>
        </w:tabs>
        <w:spacing w:line="182" w:lineRule="auto" w:before="91" w:after="0"/>
        <w:ind w:left="572" w:right="526" w:hanging="298"/>
        <w:jc w:val="left"/>
        <w:rPr>
          <w:position w:val="-5"/>
          <w:sz w:val="31"/>
        </w:rPr>
      </w:pPr>
      <w:r>
        <w:rPr>
          <w:w w:val="105"/>
          <w:sz w:val="16"/>
        </w:rPr>
        <w:t>Standardized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6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quarterly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reporting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templates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office,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per-analyst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reporting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time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35%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consistency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program</w:t>
      </w:r>
    </w:p>
    <w:p>
      <w:pPr>
        <w:pStyle w:val="BodyText"/>
        <w:spacing w:before="34"/>
        <w:ind w:left="572"/>
      </w:pPr>
      <w:r>
        <w:rPr>
          <w:spacing w:val="-2"/>
          <w:w w:val="105"/>
        </w:rPr>
        <w:t>submissions</w:t>
      </w:r>
    </w:p>
    <w:p>
      <w:pPr>
        <w:pStyle w:val="BodyText"/>
        <w:spacing w:after="0"/>
        <w:sectPr>
          <w:type w:val="continuous"/>
          <w:pgSz w:w="11920" w:h="16860"/>
          <w:pgMar w:top="760" w:bottom="0" w:left="283" w:right="283"/>
          <w:cols w:num="2" w:equalWidth="0">
            <w:col w:w="3304" w:space="955"/>
            <w:col w:w="7095"/>
          </w:cols>
        </w:sectPr>
      </w:pPr>
    </w:p>
    <w:p>
      <w:pPr>
        <w:pStyle w:val="BodyText"/>
        <w:spacing w:before="39"/>
        <w:rPr>
          <w:sz w:val="28"/>
        </w:rPr>
      </w:pPr>
      <w:r>
        <w:rPr>
          <w:sz w:val="28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2500733</wp:posOffset>
                </wp:positionH>
                <wp:positionV relativeFrom="page">
                  <wp:posOffset>10382250</wp:posOffset>
                </wp:positionV>
                <wp:extent cx="5067935" cy="322580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5067935" cy="3225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67935" h="322580">
                              <a:moveTo>
                                <a:pt x="0" y="322326"/>
                              </a:moveTo>
                              <a:lnTo>
                                <a:pt x="5067450" y="322326"/>
                              </a:lnTo>
                              <a:lnTo>
                                <a:pt x="5067450" y="0"/>
                              </a:lnTo>
                              <a:lnTo>
                                <a:pt x="0" y="0"/>
                              </a:lnTo>
                              <a:lnTo>
                                <a:pt x="0" y="32232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A1B6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6.908157pt;margin-top:817.5pt;width:399.011854pt;height:25.380025pt;mso-position-horizontal-relative:page;mso-position-vertical-relative:page;z-index:15728640" id="docshape1" filled="true" fillcolor="#7da1b6" stroked="false">
                <v:fill opacity="32899f" type="solid"/>
                <w10:wrap type="none"/>
              </v:rect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304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15365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7568565" cy="10153650"/>
                          <a:chExt cx="7568565" cy="1015365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847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847975">
                                <a:moveTo>
                                  <a:pt x="7568183" y="2847974"/>
                                </a:moveTo>
                                <a:lnTo>
                                  <a:pt x="0" y="28479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847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05062" y="2847974"/>
                            <a:ext cx="5063490" cy="7305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7305675">
                                <a:moveTo>
                                  <a:pt x="5063109" y="628650"/>
                                </a:moveTo>
                                <a:lnTo>
                                  <a:pt x="0" y="628650"/>
                                </a:lnTo>
                                <a:lnTo>
                                  <a:pt x="0" y="7305675"/>
                                </a:lnTo>
                                <a:lnTo>
                                  <a:pt x="5063109" y="7305675"/>
                                </a:lnTo>
                                <a:lnTo>
                                  <a:pt x="5063109" y="628650"/>
                                </a:lnTo>
                                <a:close/>
                              </a:path>
                              <a:path w="5063490" h="7305675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3350"/>
                                </a:lnTo>
                                <a:lnTo>
                                  <a:pt x="5063109" y="133350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324099" y="2981324"/>
                            <a:ext cx="5244465" cy="49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44465" h="495300">
                                <a:moveTo>
                                  <a:pt x="5244083" y="495299"/>
                                </a:moveTo>
                                <a:lnTo>
                                  <a:pt x="0" y="495299"/>
                                </a:lnTo>
                                <a:lnTo>
                                  <a:pt x="0" y="0"/>
                                </a:lnTo>
                                <a:lnTo>
                                  <a:pt x="5244083" y="0"/>
                                </a:lnTo>
                                <a:lnTo>
                                  <a:pt x="5244083" y="495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3471671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799.5pt;mso-position-horizontal-relative:page;mso-position-vertical-relative:page;z-index:-15785984" id="docshapegroup2" coordorigin="0,0" coordsize="11919,15990">
                <v:rect style="position:absolute;left:0;top:0;width:11919;height:4485" id="docshape3" filled="true" fillcolor="#424242" stroked="false">
                  <v:fill type="solid"/>
                </v:rect>
                <v:shape style="position:absolute;left:3944;top:4485;width:7974;height:11505" id="docshape4" coordorigin="3945,4485" coordsize="7974,11505" path="m11918,5475l3945,5475,3945,15990,11918,15990,11918,5475xm11918,4485l3945,4485,3945,4695,11918,4695,11918,4485xe" filled="true" fillcolor="#7da1b6" stroked="false">
                  <v:path arrowok="t"/>
                  <v:fill opacity="32899f" type="solid"/>
                </v:shape>
                <v:rect style="position:absolute;left:3660;top:4695;width:8259;height:780" id="docshape5" filled="true" fillcolor="#7da1b6" stroked="false">
                  <v:fill type="solid"/>
                </v:rect>
                <v:shape style="position:absolute;left:3657;top:5467;width:288;height:418" type="#_x0000_t75" id="docshape6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before="1"/>
      </w:pPr>
      <w:r>
        <w:rPr>
          <w:smallCaps/>
          <w:color w:val="0C0C0C"/>
          <w:spacing w:val="-2"/>
        </w:rPr>
        <w:t>Education</w:t>
      </w:r>
    </w:p>
    <w:p>
      <w:pPr>
        <w:pStyle w:val="BodyText"/>
        <w:spacing w:before="4"/>
        <w:rPr>
          <w:b/>
          <w:sz w:val="28"/>
        </w:rPr>
      </w:pPr>
    </w:p>
    <w:p>
      <w:pPr>
        <w:spacing w:line="278" w:lineRule="auto" w:before="1"/>
        <w:ind w:left="274" w:right="7777" w:firstLine="0"/>
        <w:jc w:val="left"/>
        <w:rPr>
          <w:sz w:val="18"/>
        </w:rPr>
      </w:pPr>
      <w:r>
        <w:rPr>
          <w:w w:val="105"/>
          <w:sz w:val="18"/>
        </w:rPr>
        <w:t>Bachelor of Science (B.S.) in </w:t>
      </w:r>
      <w:r>
        <w:rPr>
          <w:spacing w:val="-2"/>
          <w:w w:val="105"/>
          <w:sz w:val="18"/>
        </w:rPr>
        <w:t>Economics</w:t>
      </w:r>
    </w:p>
    <w:p>
      <w:pPr>
        <w:spacing w:line="192" w:lineRule="exact" w:before="0"/>
        <w:ind w:left="274" w:right="0" w:firstLine="0"/>
        <w:jc w:val="left"/>
        <w:rPr>
          <w:sz w:val="18"/>
        </w:rPr>
      </w:pPr>
      <w:r>
        <w:rPr>
          <w:w w:val="105"/>
          <w:sz w:val="18"/>
        </w:rPr>
        <w:t>University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California,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Davis,</w:t>
      </w:r>
    </w:p>
    <w:p>
      <w:pPr>
        <w:spacing w:after="0" w:line="192" w:lineRule="exact"/>
        <w:jc w:val="left"/>
        <w:rPr>
          <w:sz w:val="18"/>
        </w:rPr>
        <w:sectPr>
          <w:type w:val="continuous"/>
          <w:pgSz w:w="11920" w:h="16860"/>
          <w:pgMar w:top="760" w:bottom="0" w:left="283" w:right="283"/>
        </w:sectPr>
      </w:pPr>
    </w:p>
    <w:p>
      <w:pPr>
        <w:pStyle w:val="BodyTex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2500733</wp:posOffset>
                </wp:positionH>
                <wp:positionV relativeFrom="page">
                  <wp:posOffset>0</wp:posOffset>
                </wp:positionV>
                <wp:extent cx="5067935" cy="1070483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5067935" cy="10704830"/>
                          <a:chExt cx="5067935" cy="1070483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-1" y="0"/>
                            <a:ext cx="506793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10704830">
                                <a:moveTo>
                                  <a:pt x="506743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288546"/>
                                </a:lnTo>
                                <a:lnTo>
                                  <a:pt x="0" y="10704576"/>
                                </a:lnTo>
                                <a:lnTo>
                                  <a:pt x="5067439" y="10704576"/>
                                </a:lnTo>
                                <a:lnTo>
                                  <a:pt x="5067439" y="5288546"/>
                                </a:lnTo>
                                <a:lnTo>
                                  <a:pt x="506743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4341" y="323850"/>
                            <a:ext cx="5063490" cy="723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723900">
                                <a:moveTo>
                                  <a:pt x="5063108" y="723899"/>
                                </a:moveTo>
                                <a:lnTo>
                                  <a:pt x="0" y="723899"/>
                                </a:lnTo>
                                <a:lnTo>
                                  <a:pt x="0" y="0"/>
                                </a:lnTo>
                                <a:lnTo>
                                  <a:pt x="5063108" y="0"/>
                                </a:lnTo>
                                <a:lnTo>
                                  <a:pt x="5063108" y="723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4341" y="323850"/>
                            <a:ext cx="5063490" cy="952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952500">
                                <a:moveTo>
                                  <a:pt x="5063108" y="952499"/>
                                </a:moveTo>
                                <a:lnTo>
                                  <a:pt x="0" y="952499"/>
                                </a:lnTo>
                                <a:lnTo>
                                  <a:pt x="0" y="0"/>
                                </a:lnTo>
                                <a:lnTo>
                                  <a:pt x="5063108" y="0"/>
                                </a:lnTo>
                                <a:lnTo>
                                  <a:pt x="5063108" y="952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6.908157pt;margin-top:-.000036pt;width:399.05pt;height:842.9pt;mso-position-horizontal-relative:page;mso-position-vertical-relative:page;z-index:15729664" id="docshapegroup7" coordorigin="3938,0" coordsize="7981,16858">
                <v:shape style="position:absolute;left:3938;top:0;width:7981;height:16858" id="docshape8" coordorigin="3938,0" coordsize="7981,16858" path="m11918,0l3938,0,3938,8328,3938,16858,11918,16858,11918,8328,11918,0xe" filled="true" fillcolor="#7da1b6" stroked="false">
                  <v:path arrowok="t"/>
                  <v:fill opacity="32899f" type="solid"/>
                </v:shape>
                <v:rect style="position:absolute;left:3945;top:510;width:7974;height:1140" id="docshape9" filled="true" fillcolor="#ffffff" stroked="false">
                  <v:fill type="solid"/>
                </v:rect>
                <v:rect style="position:absolute;left:3945;top:510;width:7974;height:1500" id="docshape10" filled="true" fillcolor="#7da1b6" stroked="false">
                  <v:fill opacity="32899f"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before="74"/>
        <w:rPr>
          <w:sz w:val="18"/>
        </w:rPr>
      </w:pPr>
    </w:p>
    <w:p>
      <w:pPr>
        <w:spacing w:line="278" w:lineRule="auto" w:before="0"/>
        <w:ind w:left="274" w:right="9916" w:firstLine="0"/>
        <w:jc w:val="left"/>
        <w:rPr>
          <w:sz w:val="18"/>
        </w:rPr>
      </w:pPr>
      <w:r>
        <w:rPr>
          <w:w w:val="105"/>
          <w:sz w:val="18"/>
        </w:rPr>
        <w:t>Davis,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CA May</w:t>
      </w:r>
      <w:r>
        <w:rPr>
          <w:spacing w:val="5"/>
          <w:w w:val="105"/>
          <w:sz w:val="18"/>
        </w:rPr>
        <w:t> </w:t>
      </w:r>
      <w:r>
        <w:rPr>
          <w:spacing w:val="-4"/>
          <w:w w:val="105"/>
          <w:sz w:val="18"/>
        </w:rPr>
        <w:t>2017</w:t>
      </w:r>
    </w:p>
    <w:sectPr>
      <w:pgSz w:w="11920" w:h="16860"/>
      <w:pgMar w:top="0" w:bottom="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7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5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3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1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8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6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4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1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9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572" w:hanging="137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49"/>
        <w:sz w:val="16"/>
        <w:szCs w:val="16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61" w:hanging="13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42" w:hanging="13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23" w:hanging="13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04" w:hanging="13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85" w:hanging="13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66" w:hanging="13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47" w:hanging="13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28" w:hanging="137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9"/>
      <w:ind w:left="11" w:right="8"/>
      <w:jc w:val="center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1"/>
      <w:ind w:left="572" w:right="38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2026-03-12T15:08:21Z</dcterms:created>
  <dcterms:modified xsi:type="dcterms:W3CDTF">2026-03-12T15:08:21Z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2026-03-12T00:00:00Z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2026-03-12T00:00:00Z</vt:filetime>
  </property>
  <property fmtid="{D5CDD505-2E9C-101B-9397-08002B2CF9AE}" pid="5" name="Producer">
    <vt:lpwstr>pdf-merger-js</vt:lpwstr>
  </property>
</Properties>
</file>