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Jordan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9"/>
          <w:sz w:val="78"/>
        </w:rPr>
        <w:t>Miller</w:t>
      </w:r>
    </w:p>
    <w:p>
      <w:pPr>
        <w:pStyle w:val="Heading1"/>
        <w:spacing w:before="206"/>
        <w:ind w:left="448"/>
      </w:pPr>
      <w:r>
        <w:rPr>
          <w:color w:val="FFFFFF"/>
        </w:rPr>
        <w:t>Accounts</w:t>
      </w:r>
      <w:r>
        <w:rPr>
          <w:color w:val="FFFFFF"/>
          <w:spacing w:val="25"/>
        </w:rPr>
        <w:t> </w:t>
      </w:r>
      <w:r>
        <w:rPr>
          <w:color w:val="FFFFFF"/>
        </w:rPr>
        <w:t>Payable</w:t>
      </w:r>
      <w:r>
        <w:rPr>
          <w:color w:val="FFFFFF"/>
          <w:spacing w:val="25"/>
        </w:rPr>
        <w:t> </w:t>
      </w:r>
      <w:r>
        <w:rPr>
          <w:color w:val="FFFFFF"/>
        </w:rPr>
        <w:t>and</w:t>
      </w:r>
      <w:r>
        <w:rPr>
          <w:color w:val="FFFFFF"/>
          <w:spacing w:val="25"/>
        </w:rPr>
        <w:t> </w:t>
      </w:r>
      <w:r>
        <w:rPr>
          <w:color w:val="FFFFFF"/>
        </w:rPr>
        <w:t>Receivable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Specialist</w:t>
      </w:r>
    </w:p>
    <w:p>
      <w:pPr>
        <w:spacing w:line="273" w:lineRule="auto" w:before="199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Versatile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payable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receivable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8+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end-to-end AP/AR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functions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multi-vendor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multi-client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invoice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reconciliation,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automation.</w:t>
      </w:r>
    </w:p>
    <w:p>
      <w:pPr>
        <w:spacing w:line="273" w:lineRule="auto" w:before="1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Demonstrated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invoice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discrepancies,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departmental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efficiency,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compliance-ready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financial reporting.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balancing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competing AP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 AR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priorities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transaction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708"/>
        </w:sectPr>
      </w:pPr>
    </w:p>
    <w:p>
      <w:pPr>
        <w:pStyle w:val="Heading1"/>
        <w:spacing w:before="57"/>
      </w:pPr>
      <w:r>
        <w:rPr>
          <w:color w:val="0C5394"/>
        </w:rPr>
        <w:t>CONTACT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INFORMATION</w:t>
      </w:r>
    </w:p>
    <w:p>
      <w:pPr>
        <w:pStyle w:val="BodyText"/>
        <w:spacing w:before="107"/>
        <w:rPr>
          <w:b/>
          <w:sz w:val="26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</w:rPr>
        <w:t>Philadelphia,</w:t>
      </w:r>
      <w:r>
        <w:rPr>
          <w:color w:val="424242"/>
          <w:spacing w:val="19"/>
        </w:rPr>
        <w:t> </w:t>
      </w:r>
      <w:r>
        <w:rPr>
          <w:color w:val="424242"/>
          <w:spacing w:val="-7"/>
        </w:rPr>
        <w:t>PA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color w:val="0C5394"/>
          <w:spacing w:val="-2"/>
        </w:rPr>
        <w:t>EDUCATION</w:t>
      </w:r>
    </w:p>
    <w:p>
      <w:pPr>
        <w:pStyle w:val="BodyText"/>
        <w:spacing w:line="268" w:lineRule="auto" w:before="241"/>
        <w:ind w:left="114" w:right="282"/>
      </w:pPr>
      <w:r>
        <w:rPr>
          <w:w w:val="105"/>
        </w:rPr>
        <w:t>Bachelor's in Accounting University of California, Berkeley, CA, June 2014</w:t>
      </w:r>
    </w:p>
    <w:p>
      <w:pPr>
        <w:pStyle w:val="BodyText"/>
        <w:spacing w:before="87"/>
      </w:pPr>
    </w:p>
    <w:p>
      <w:pPr>
        <w:pStyle w:val="BodyText"/>
        <w:ind w:left="114"/>
      </w:pPr>
      <w:r>
        <w:rPr>
          <w:w w:val="105"/>
        </w:rPr>
        <w:t>Bachelor's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line="278" w:lineRule="auto" w:before="19"/>
        <w:ind w:left="114" w:right="282"/>
      </w:pPr>
      <w:r>
        <w:rPr/>
        <w:t>New York University, New York, NY, May 2012</w:t>
      </w:r>
    </w:p>
    <w:p>
      <w:pPr>
        <w:pStyle w:val="BodyText"/>
        <w:spacing w:before="62"/>
      </w:pPr>
    </w:p>
    <w:p>
      <w:pPr>
        <w:pStyle w:val="BodyText"/>
        <w:spacing w:line="261" w:lineRule="auto"/>
        <w:ind w:left="114" w:right="282"/>
      </w:pPr>
      <w:r>
        <w:rPr>
          <w:w w:val="105"/>
        </w:rPr>
        <w:t>Associate in 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278" w:lineRule="auto" w:before="14"/>
        <w:ind w:left="114"/>
      </w:pPr>
      <w:r>
        <w:rPr>
          <w:w w:val="105"/>
        </w:rPr>
        <w:t>UMiami Dade College, Miami, FL, May 2010</w:t>
      </w:r>
    </w:p>
    <w:p>
      <w:pPr>
        <w:pStyle w:val="BodyText"/>
        <w:spacing w:before="33"/>
      </w:pPr>
    </w:p>
    <w:p>
      <w:pPr>
        <w:pStyle w:val="Heading1"/>
      </w:pPr>
      <w:r>
        <w:rPr>
          <w:color w:val="0C5394"/>
        </w:rPr>
        <w:t>KEY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SKILLS</w:t>
      </w:r>
    </w:p>
    <w:p>
      <w:pPr>
        <w:spacing w:before="57"/>
        <w:ind w:left="2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C5394"/>
          <w:sz w:val="26"/>
        </w:rPr>
        <w:t>PROFESSIONAL</w:t>
      </w:r>
      <w:r>
        <w:rPr>
          <w:b/>
          <w:color w:val="0C5394"/>
          <w:spacing w:val="48"/>
          <w:sz w:val="26"/>
        </w:rPr>
        <w:t> </w:t>
      </w:r>
      <w:r>
        <w:rPr>
          <w:b/>
          <w:color w:val="0C5394"/>
          <w:spacing w:val="-2"/>
          <w:sz w:val="26"/>
        </w:rPr>
        <w:t>EXPERIENCE</w:t>
      </w:r>
    </w:p>
    <w:p>
      <w:pPr>
        <w:pStyle w:val="BodyText"/>
        <w:spacing w:before="50"/>
        <w:rPr>
          <w:b/>
          <w:sz w:val="26"/>
        </w:rPr>
      </w:pPr>
    </w:p>
    <w:p>
      <w:pPr>
        <w:pStyle w:val="BodyText"/>
        <w:spacing w:line="268" w:lineRule="auto"/>
        <w:ind w:left="225"/>
      </w:pPr>
      <w:r>
        <w:rPr>
          <w:w w:val="105"/>
        </w:rPr>
        <w:t>ACCOUNTS PAYABLE &amp; RECEIVABLE SPECIALIST </w:t>
      </w:r>
      <w:r>
        <w:rPr>
          <w:w w:val="105"/>
          <w:position w:val="2"/>
        </w:rPr>
        <w:t>| </w:t>
      </w:r>
      <w:r>
        <w:rPr>
          <w:w w:val="105"/>
        </w:rPr>
        <w:t>DELOITTE , SAN FRANCISCO, CA</w:t>
      </w:r>
    </w:p>
    <w:p>
      <w:pPr>
        <w:pStyle w:val="BodyText"/>
        <w:spacing w:line="200" w:lineRule="exact"/>
        <w:ind w:left="225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2018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1"/>
      </w:pP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68" w:lineRule="auto" w:before="0" w:after="0"/>
        <w:ind w:left="448" w:right="500" w:firstLine="0"/>
        <w:jc w:val="left"/>
        <w:rPr>
          <w:sz w:val="18"/>
        </w:rPr>
      </w:pPr>
      <w:r>
        <w:rPr>
          <w:w w:val="105"/>
          <w:sz w:val="18"/>
        </w:rPr>
        <w:t>Managed end-to-end payable and receivable processes for 200+ vendors and clients, processing $8 million in monthly transactions with 99% accuracy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68" w:lineRule="auto" w:before="100" w:after="0"/>
        <w:ind w:left="448" w:right="165" w:firstLine="0"/>
        <w:jc w:val="left"/>
        <w:rPr>
          <w:sz w:val="18"/>
        </w:rPr>
      </w:pPr>
      <w:r>
        <w:rPr>
          <w:w w:val="105"/>
          <w:sz w:val="18"/>
        </w:rPr>
        <w:t>Reduced invoice discrepancies by 30% within 12 months by designing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implementing improved reconciliation procedures across both AP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AR functions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78" w:lineRule="auto" w:before="84" w:after="0"/>
        <w:ind w:left="448" w:right="150" w:firstLine="0"/>
        <w:jc w:val="left"/>
        <w:rPr>
          <w:sz w:val="18"/>
        </w:rPr>
      </w:pPr>
      <w:r>
        <w:rPr>
          <w:w w:val="105"/>
          <w:sz w:val="18"/>
        </w:rPr>
        <w:t>Automated 4 recurring reporting workflows using Excel macros, saving 6 hours of manual processing per week and reducing data entry errors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78" w:lineRule="auto" w:before="75" w:after="0"/>
        <w:ind w:left="448" w:right="133" w:firstLine="0"/>
        <w:jc w:val="left"/>
        <w:rPr>
          <w:sz w:val="18"/>
        </w:rPr>
      </w:pPr>
      <w:r>
        <w:rPr>
          <w:w w:val="105"/>
          <w:sz w:val="18"/>
        </w:rPr>
        <w:t>Prepared monthly financial reports for senior management combining AP aging,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aging,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projections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consolidated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68" w:lineRule="auto" w:before="90" w:after="0"/>
        <w:ind w:left="448" w:right="135" w:firstLine="0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reviews, compiling AP/AR documentation packages that cleared all queries within 3 business days</w:t>
      </w:r>
    </w:p>
    <w:p>
      <w:pPr>
        <w:pStyle w:val="ListParagraph"/>
        <w:numPr>
          <w:ilvl w:val="0"/>
          <w:numId w:val="1"/>
        </w:numPr>
        <w:tabs>
          <w:tab w:pos="618" w:val="left" w:leader="none"/>
        </w:tabs>
        <w:spacing w:line="278" w:lineRule="auto" w:before="84" w:after="0"/>
        <w:ind w:left="448" w:right="693" w:firstLine="0"/>
        <w:jc w:val="left"/>
        <w:rPr>
          <w:sz w:val="18"/>
        </w:rPr>
      </w:pPr>
      <w:r>
        <w:rPr>
          <w:w w:val="105"/>
          <w:sz w:val="18"/>
        </w:rPr>
        <w:t>Trained 2 junior specialists on dual AP/AR processing procedures, reducing their error rates by 35% within the first 90 days</w:t>
      </w:r>
    </w:p>
    <w:p>
      <w:pPr>
        <w:pStyle w:val="BodyText"/>
        <w:spacing w:before="201"/>
      </w:pPr>
    </w:p>
    <w:p>
      <w:pPr>
        <w:pStyle w:val="BodyText"/>
        <w:spacing w:line="268" w:lineRule="auto" w:before="1"/>
        <w:ind w:left="225" w:right="1062"/>
      </w:pPr>
      <w:r>
        <w:rPr>
          <w:w w:val="105"/>
        </w:rPr>
        <w:t>ACCOUNTS RECEIVABLE</w:t>
      </w:r>
      <w:r>
        <w:rPr>
          <w:spacing w:val="-8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PWC , NEW</w:t>
      </w:r>
      <w:r>
        <w:rPr>
          <w:spacing w:val="-2"/>
          <w:w w:val="105"/>
        </w:rPr>
        <w:t> </w:t>
      </w:r>
      <w:r>
        <w:rPr>
          <w:w w:val="105"/>
        </w:rPr>
        <w:t>YORK, NY MAY 2016 – DECEMBER 2017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20" w:bottom="280" w:left="425" w:right="708"/>
          <w:cols w:num="2" w:equalWidth="0">
            <w:col w:w="3227" w:space="530"/>
            <w:col w:w="7030"/>
          </w:cols>
        </w:sectPr>
      </w:pPr>
    </w:p>
    <w:p>
      <w:pPr>
        <w:pStyle w:val="BodyText"/>
        <w:spacing w:before="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52674"/>
                            <a:ext cx="2476500" cy="835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8353425">
                                <a:moveTo>
                                  <a:pt x="0" y="8353424"/>
                                </a:moveTo>
                                <a:lnTo>
                                  <a:pt x="2476499" y="83534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53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2352674"/>
                            <a:ext cx="9525" cy="835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53425">
                                <a:moveTo>
                                  <a:pt x="0" y="8353424"/>
                                </a:moveTo>
                                <a:lnTo>
                                  <a:pt x="9524" y="83534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53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52675">
                                <a:moveTo>
                                  <a:pt x="7568183" y="2352674"/>
                                </a:moveTo>
                                <a:lnTo>
                                  <a:pt x="0" y="2352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5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352674"/>
                            <a:ext cx="9525" cy="798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981950">
                                <a:moveTo>
                                  <a:pt x="9524" y="7981949"/>
                                </a:moveTo>
                                <a:lnTo>
                                  <a:pt x="0" y="7981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98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2928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28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003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7187" y="3395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7187" y="3395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670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7187" y="3871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7187" y="3871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943350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1" coordorigin="0,0" coordsize="11919,16860">
                <v:rect style="position:absolute;left:0;top:3705;width:3900;height:13155" id="docshape2" filled="true" fillcolor="#f5f5f5" stroked="false">
                  <v:fill type="solid"/>
                </v:rect>
                <v:rect style="position:absolute;left:3885;top:3705;width:15;height:13155" id="docshape3" filled="true" fillcolor="#000000" stroked="false">
                  <v:fill type="solid"/>
                </v:rect>
                <v:rect style="position:absolute;left:0;top:0;width:11919;height:3705" id="docshape4" filled="true" fillcolor="#424242" stroked="false">
                  <v:fill type="solid"/>
                </v:rect>
                <v:rect style="position:absolute;left:3885;top:3705;width:15;height:12570" id="docshape5" filled="true" fillcolor="#000000" stroked="false">
                  <v:fill type="solid"/>
                </v:rect>
                <v:shape style="position:absolute;left:562;top:4612;width:495;height:495" id="docshape6" coordorigin="562,4612" coordsize="495,495" path="m810,5107l750,5100,693,5078,644,5043,604,4998,577,4944,564,4885,562,4860,563,4848,573,4788,598,4733,635,4685,683,4648,738,4623,798,4613,810,4612,822,4613,882,4623,937,4648,985,4685,1022,4733,1047,4788,1057,4848,1057,4860,1057,4872,1047,4932,1022,4987,985,5035,937,5072,882,5097,822,5107,810,5107xe" filled="true" fillcolor="#424242" stroked="false">
                  <v:path arrowok="t"/>
                  <v:fill type="solid"/>
                </v:shape>
                <v:shape style="position:absolute;left:562;top:4612;width:495;height:495" id="docshape7" coordorigin="562,4612" coordsize="495,495" path="m562,4860l562,4860,563,4848,573,4788,598,4733,635,4685,683,4648,738,4623,798,4613,810,4612,810,4612,870,4620,927,4642,976,4677,1016,4722,1043,4776,1056,4835,1057,4860,1057,4860,1050,4920,1028,4977,993,5026,948,5066,894,5093,835,5106,810,5107,810,5107,750,5100,693,5078,644,5043,604,4998,577,4944,564,4885,562,4860xe" filled="false" stroked="true" strokeweight="2.25pt" strokecolor="#0c5394">
                  <v:path arrowok="t"/>
                  <v:stroke dashstyle="solid"/>
                </v:shape>
                <v:shape style="position:absolute;left:675;top:4725;width:261;height:255" type="#_x0000_t75" id="docshape8" stroked="false">
                  <v:imagedata r:id="rId6" o:title=""/>
                </v:shape>
                <v:shape style="position:absolute;left:562;top:5347;width:495;height:495" id="docshape9" coordorigin="562,5347" coordsize="495,495" path="m810,5842l750,5835,693,5813,644,5778,604,5733,577,5679,564,5620,562,5595,563,5583,573,5523,598,5468,635,5420,683,5383,738,5358,798,5348,810,5347,822,5348,882,5358,937,5383,985,5420,1022,5468,1047,5523,1057,5583,1057,5595,1057,5607,1047,5667,1022,5722,985,5770,937,5807,882,5832,822,5842,810,5842xe" filled="true" fillcolor="#424242" stroked="false">
                  <v:path arrowok="t"/>
                  <v:fill type="solid"/>
                </v:shape>
                <v:shape style="position:absolute;left:562;top:5347;width:495;height:495" id="docshape10" coordorigin="562,5347" coordsize="495,495" path="m562,5595l562,5595,563,5583,573,5523,598,5468,635,5420,683,5383,738,5358,798,5348,810,5347,810,5347,870,5355,927,5377,976,5412,1016,5457,1043,5511,1056,5570,1057,5595,1057,5595,1050,5655,1028,5712,993,5761,948,5801,894,5828,835,5841,810,5842,810,5842,750,5835,693,5813,644,5778,604,5733,577,5679,564,5620,562,5595xe" filled="false" stroked="true" strokeweight="2.25pt" strokecolor="#0c5394">
                  <v:path arrowok="t"/>
                  <v:stroke dashstyle="solid"/>
                </v:shape>
                <v:shape style="position:absolute;left:692;top:5460;width:226;height:261" type="#_x0000_t75" id="docshape11" stroked="false">
                  <v:imagedata r:id="rId7" o:title=""/>
                </v:shape>
                <v:shape style="position:absolute;left:562;top:6097;width:495;height:495" id="docshape12" coordorigin="562,6097" coordsize="495,495" path="m810,6592l750,6585,693,6563,644,6528,604,6483,577,6429,564,6370,562,6345,563,6333,573,6273,598,6218,635,6170,683,6133,738,6108,798,6098,810,6097,822,6098,882,6108,937,6133,985,6170,1022,6218,1047,6273,1057,6333,1057,6345,1057,6357,1047,6417,1022,6472,985,6520,937,6557,882,6582,822,6592,810,6592xe" filled="true" fillcolor="#424242" stroked="false">
                  <v:path arrowok="t"/>
                  <v:fill type="solid"/>
                </v:shape>
                <v:shape style="position:absolute;left:562;top:6097;width:495;height:495" id="docshape13" coordorigin="562,6097" coordsize="495,495" path="m562,6345l562,6345,563,6333,573,6273,598,6218,635,6170,683,6133,738,6108,798,6098,810,6097,810,6097,870,6105,927,6127,976,6162,1016,6207,1043,6261,1056,6320,1057,6345,1057,6345,1050,6405,1028,6462,993,6511,948,6551,894,6578,835,6591,810,6592,810,6592,750,6585,693,6563,644,6528,604,6483,577,6429,564,6370,562,6345xe" filled="false" stroked="true" strokeweight="2.25pt" strokecolor="#0c5394">
                  <v:path arrowok="t"/>
                  <v:stroke dashstyle="solid"/>
                </v:shape>
                <v:shape style="position:absolute;left:675;top:6210;width:259;height:255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End-to-end accounts payable and receivable management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7" w:after="0"/>
        <w:ind w:left="411" w:right="385" w:hanging="298"/>
        <w:jc w:val="left"/>
        <w:rPr>
          <w:sz w:val="18"/>
        </w:rPr>
      </w:pPr>
      <w:r>
        <w:rPr>
          <w:w w:val="105"/>
          <w:sz w:val="18"/>
        </w:rPr>
        <w:t>Invoice reconciliation and discrepancy resolution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600" w:hanging="298"/>
        <w:jc w:val="left"/>
        <w:rPr>
          <w:sz w:val="18"/>
        </w:rPr>
      </w:pPr>
      <w:r>
        <w:rPr>
          <w:w w:val="105"/>
          <w:sz w:val="18"/>
        </w:rPr>
        <w:t>Financial reporting and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396" w:hanging="298"/>
        <w:jc w:val="left"/>
        <w:rPr>
          <w:sz w:val="18"/>
        </w:rPr>
      </w:pPr>
      <w:r>
        <w:rPr>
          <w:w w:val="105"/>
          <w:sz w:val="18"/>
        </w:rPr>
        <w:t>Task prioritization in high-volume environments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514" w:hanging="298"/>
        <w:jc w:val="left"/>
        <w:rPr>
          <w:sz w:val="18"/>
        </w:rPr>
      </w:pPr>
      <w:r>
        <w:rPr>
          <w:w w:val="105"/>
          <w:sz w:val="18"/>
        </w:rPr>
        <w:t>Process automation and efficiency improvement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81" w:after="0"/>
        <w:ind w:left="411" w:right="334" w:hanging="298"/>
        <w:jc w:val="left"/>
        <w:rPr>
          <w:sz w:val="18"/>
        </w:rPr>
      </w:pPr>
      <w:r>
        <w:rPr>
          <w:w w:val="105"/>
          <w:sz w:val="18"/>
        </w:rPr>
        <w:t>Vendor and client account management (200+)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282" w:hanging="298"/>
        <w:jc w:val="left"/>
        <w:rPr>
          <w:sz w:val="18"/>
        </w:rPr>
      </w:pPr>
      <w:r>
        <w:rPr>
          <w:w w:val="105"/>
          <w:sz w:val="18"/>
        </w:rPr>
        <w:t>QuickBooks, NetSuite, and Microsoft Excel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148" w:hanging="298"/>
        <w:jc w:val="left"/>
        <w:rPr>
          <w:sz w:val="18"/>
        </w:rPr>
      </w:pPr>
      <w:r>
        <w:rPr>
          <w:w w:val="105"/>
          <w:sz w:val="18"/>
        </w:rPr>
        <w:t>GAAP compliance and audit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2"/>
        </w:numPr>
        <w:tabs>
          <w:tab w:pos="855" w:val="left" w:leader="none"/>
          <w:tab w:pos="857" w:val="left" w:leader="none"/>
        </w:tabs>
        <w:spacing w:line="201" w:lineRule="auto" w:before="178" w:after="0"/>
        <w:ind w:left="857" w:right="29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Researched and corrected financial record errors across 12 client accounts, implementing a systematic error-tracking log that improved</w:t>
      </w:r>
    </w:p>
    <w:p>
      <w:pPr>
        <w:pStyle w:val="BodyText"/>
        <w:spacing w:before="25"/>
        <w:ind w:left="857"/>
      </w:pPr>
      <w:r>
        <w:rPr>
          <w:w w:val="105"/>
        </w:rPr>
        <w:t>billing</w:t>
      </w:r>
      <w:r>
        <w:rPr>
          <w:spacing w:val="30"/>
          <w:w w:val="105"/>
        </w:rPr>
        <w:t> </w:t>
      </w:r>
      <w:r>
        <w:rPr>
          <w:w w:val="105"/>
        </w:rPr>
        <w:t>accuracy</w:t>
      </w:r>
      <w:r>
        <w:rPr>
          <w:spacing w:val="30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ListParagraph"/>
        <w:numPr>
          <w:ilvl w:val="1"/>
          <w:numId w:val="2"/>
        </w:numPr>
        <w:tabs>
          <w:tab w:pos="855" w:val="left" w:leader="none"/>
          <w:tab w:pos="857" w:val="left" w:leader="none"/>
        </w:tabs>
        <w:spacing w:line="201" w:lineRule="auto" w:before="89" w:after="0"/>
        <w:ind w:left="857" w:right="474" w:hanging="298"/>
        <w:jc w:val="left"/>
        <w:rPr>
          <w:sz w:val="18"/>
        </w:rPr>
      </w:pPr>
      <w:r>
        <w:rPr>
          <w:w w:val="105"/>
          <w:sz w:val="18"/>
        </w:rPr>
        <w:t>Increased department efficiency by 20% through automation of payment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reminder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invoice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generation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NetSuite</w:t>
      </w:r>
    </w:p>
    <w:p>
      <w:pPr>
        <w:pStyle w:val="BodyText"/>
        <w:spacing w:before="25"/>
        <w:ind w:left="857"/>
      </w:pPr>
      <w:r>
        <w:rPr>
          <w:w w:val="105"/>
        </w:rPr>
        <w:t>scripting</w:t>
      </w:r>
      <w:r>
        <w:rPr>
          <w:spacing w:val="46"/>
          <w:w w:val="105"/>
        </w:rPr>
        <w:t> </w:t>
      </w:r>
      <w:r>
        <w:rPr>
          <w:spacing w:val="-2"/>
          <w:w w:val="105"/>
        </w:rPr>
        <w:t>tools</w:t>
      </w:r>
    </w:p>
    <w:p>
      <w:pPr>
        <w:pStyle w:val="ListParagraph"/>
        <w:numPr>
          <w:ilvl w:val="1"/>
          <w:numId w:val="2"/>
        </w:numPr>
        <w:tabs>
          <w:tab w:pos="857" w:val="left" w:leader="none"/>
          <w:tab w:pos="912" w:val="left" w:leader="none"/>
        </w:tabs>
        <w:spacing w:line="189" w:lineRule="auto" w:before="102" w:after="0"/>
        <w:ind w:left="857" w:right="129" w:hanging="298"/>
        <w:jc w:val="left"/>
        <w:rPr>
          <w:sz w:val="18"/>
        </w:rPr>
      </w:pPr>
      <w:r>
        <w:rPr>
          <w:w w:val="105"/>
          <w:sz w:val="18"/>
        </w:rPr>
        <w:t>Reconciled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150+ accounts monthly, resolving all discrepancies within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48-hour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5-day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month-end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close</w:t>
      </w:r>
    </w:p>
    <w:p>
      <w:pPr>
        <w:pStyle w:val="ListParagraph"/>
        <w:numPr>
          <w:ilvl w:val="1"/>
          <w:numId w:val="2"/>
        </w:numPr>
        <w:tabs>
          <w:tab w:pos="855" w:val="left" w:leader="none"/>
          <w:tab w:pos="857" w:val="left" w:leader="none"/>
        </w:tabs>
        <w:spacing w:line="201" w:lineRule="auto" w:before="98" w:after="0"/>
        <w:ind w:left="857" w:right="482" w:hanging="298"/>
        <w:jc w:val="left"/>
        <w:rPr>
          <w:sz w:val="18"/>
        </w:rPr>
      </w:pPr>
      <w:r>
        <w:rPr>
          <w:w w:val="105"/>
          <w:sz w:val="18"/>
        </w:rPr>
        <w:t>Assisted in preparing quarterly AR schedules supporting SEC filing requirements for 5 publicly traded clients</w:t>
      </w:r>
    </w:p>
    <w:p>
      <w:pPr>
        <w:pStyle w:val="BodyText"/>
        <w:spacing w:before="148"/>
      </w:pPr>
    </w:p>
    <w:p>
      <w:pPr>
        <w:pStyle w:val="Heading1"/>
        <w:ind w:left="114"/>
      </w:pPr>
      <w:r>
        <w:rPr>
          <w:color w:val="0C5394"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633" w:val="left" w:leader="none"/>
        </w:tabs>
        <w:spacing w:line="338" w:lineRule="exact" w:before="259" w:after="0"/>
        <w:ind w:left="63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Payable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(CAPA),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IOFM,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0"/>
          <w:numId w:val="3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Certified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(CPA)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AICPA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0"/>
          <w:numId w:val="3"/>
        </w:numPr>
        <w:tabs>
          <w:tab w:pos="633" w:val="left" w:leader="none"/>
        </w:tabs>
        <w:spacing w:line="348" w:lineRule="exact" w:before="0" w:after="0"/>
        <w:ind w:left="63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Bookkeeper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(CB)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AIPB,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620" w:bottom="280" w:left="425" w:right="708"/>
      <w:cols w:num="2" w:equalWidth="0">
        <w:col w:w="3018" w:space="628"/>
        <w:col w:w="71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●"/>
      <w:lvlJc w:val="left"/>
      <w:pPr>
        <w:ind w:left="448" w:hanging="171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8" w:hanging="1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7" w:hanging="1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16" w:hanging="1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75" w:hanging="1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4" w:hanging="1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93" w:hanging="1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51" w:hanging="1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10" w:hanging="171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2026-03-21T14:48:50Z</dcterms:created>
  <dcterms:modified xsi:type="dcterms:W3CDTF">2026-03-21T14:48:50Z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