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" w:right="12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Riley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10"/>
          <w:sz w:val="74"/>
        </w:rPr>
        <w:t>Anderson</w:t>
      </w:r>
    </w:p>
    <w:p>
      <w:pPr>
        <w:pStyle w:val="Heading1"/>
      </w:pPr>
      <w:r>
        <w:rPr>
          <w:color w:val="FFFFFF"/>
        </w:rPr>
        <w:t>Mortgage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Underwriter</w:t>
      </w:r>
    </w:p>
    <w:p>
      <w:pPr>
        <w:spacing w:line="273" w:lineRule="auto" w:before="193"/>
        <w:ind w:left="590" w:right="395" w:firstLine="0"/>
        <w:jc w:val="left"/>
        <w:rPr>
          <w:sz w:val="16"/>
        </w:rPr>
      </w:pPr>
      <w:r>
        <w:rPr>
          <w:color w:val="FFFFFF"/>
          <w:w w:val="105"/>
          <w:sz w:val="16"/>
        </w:rPr>
        <w:t>Detail-oriented mortgage underwriter with 6+ years of experience evaluating credit risk, verifying income and assets, and ensuring regulatory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compliance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residential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commercial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loan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ﬁles.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Reviewed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underwrote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1,200+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loan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applications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annually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98% accuracy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rate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95%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on-time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decision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metric,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reduced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post-closing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defects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40%,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mentored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4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junior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underwriters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at HomeSecure Lending. Expert in QM/ATR compliance, FNMA/FHLMC guidelines, and driving efﬁciency improvements in high-volume underwriting departments.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29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283" w:right="283"/>
        </w:sectPr>
      </w:pPr>
    </w:p>
    <w:p>
      <w:pPr>
        <w:pStyle w:val="Heading2"/>
        <w:spacing w:before="81"/>
      </w:pPr>
      <w:r>
        <w:rPr>
          <w:color w:val="785E93"/>
        </w:rPr>
        <w:t>Contact</w:t>
      </w:r>
      <w:r>
        <w:rPr>
          <w:color w:val="785E93"/>
          <w:spacing w:val="49"/>
        </w:rPr>
        <w:t> </w:t>
      </w:r>
      <w:r>
        <w:rPr>
          <w:color w:val="785E93"/>
          <w:spacing w:val="-2"/>
        </w:rPr>
        <w:t>Information</w:t>
      </w:r>
    </w:p>
    <w:p>
      <w:pPr>
        <w:pStyle w:val="BodyText"/>
        <w:spacing w:before="56"/>
        <w:ind w:left="0"/>
        <w:rPr>
          <w:sz w:val="22"/>
        </w:rPr>
      </w:pPr>
    </w:p>
    <w:p>
      <w:pPr>
        <w:pStyle w:val="BodyText"/>
        <w:spacing w:before="0"/>
        <w:ind w:left="79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400049</wp:posOffset>
            </wp:positionH>
            <wp:positionV relativeFrom="paragraph">
              <wp:posOffset>-6594</wp:posOffset>
            </wp:positionV>
            <wp:extent cx="165348" cy="1619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w w:val="105"/>
        </w:rPr>
        <w:t>(555)</w:t>
      </w:r>
      <w:r>
        <w:rPr>
          <w:color w:val="424242"/>
          <w:spacing w:val="14"/>
          <w:w w:val="105"/>
        </w:rPr>
        <w:t> </w:t>
      </w:r>
      <w:r>
        <w:rPr>
          <w:color w:val="424242"/>
          <w:w w:val="105"/>
        </w:rPr>
        <w:t>000-</w:t>
      </w:r>
      <w:r>
        <w:rPr>
          <w:color w:val="424242"/>
          <w:spacing w:val="-4"/>
          <w:w w:val="105"/>
        </w:rPr>
        <w:t>0000</w:t>
      </w:r>
    </w:p>
    <w:p>
      <w:pPr>
        <w:pStyle w:val="Heading2"/>
        <w:spacing w:before="66"/>
      </w:pPr>
      <w:r>
        <w:rPr/>
        <w:br w:type="column"/>
      </w:r>
      <w:r>
        <w:rPr/>
        <w:t>Professional</w:t>
      </w:r>
      <w:r>
        <w:rPr>
          <w:spacing w:val="79"/>
        </w:rPr>
        <w:t> </w:t>
      </w:r>
      <w:r>
        <w:rPr>
          <w:spacing w:val="-2"/>
        </w:rPr>
        <w:t>Experience</w:t>
      </w:r>
    </w:p>
    <w:p>
      <w:pPr>
        <w:pStyle w:val="BodyText"/>
        <w:spacing w:before="45"/>
        <w:ind w:left="0"/>
        <w:rPr>
          <w:sz w:val="22"/>
        </w:rPr>
      </w:pPr>
    </w:p>
    <w:p>
      <w:pPr>
        <w:pStyle w:val="BodyText"/>
        <w:spacing w:line="268" w:lineRule="auto" w:before="0"/>
        <w:ind w:left="51" w:right="617"/>
      </w:pPr>
      <w:r>
        <w:rPr/>
        <w:t>SENIOR MORTGAGE UNDERWRITER </w:t>
      </w:r>
      <w:r>
        <w:rPr>
          <w:position w:val="2"/>
        </w:rPr>
        <w:t>| </w:t>
      </w:r>
      <w:r>
        <w:rPr/>
        <w:t>HOMESECURE LENDING | CITY, ST MARCH 2019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283" w:right="283"/>
          <w:cols w:num="2" w:equalWidth="0">
            <w:col w:w="2115" w:space="1567"/>
            <w:col w:w="7672"/>
          </w:cols>
        </w:sectPr>
      </w:pPr>
    </w:p>
    <w:p>
      <w:pPr>
        <w:pStyle w:val="BodyText"/>
        <w:spacing w:line="480" w:lineRule="auto" w:before="87"/>
        <w:ind w:left="346"/>
      </w:pPr>
      <w:r>
        <w:rPr>
          <w:position w:val="-9"/>
        </w:rPr>
        <w:drawing>
          <wp:inline distT="0" distB="0" distL="0" distR="0">
            <wp:extent cx="165344" cy="1904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7">
        <w:r>
          <w:rPr>
            <w:color w:val="424242"/>
            <w:w w:val="105"/>
          </w:rPr>
          <w:t>email@example.com</w:t>
        </w:r>
      </w:hyperlink>
      <w:r>
        <w:rPr>
          <w:color w:val="424242"/>
          <w:w w:val="105"/>
        </w:rPr>
        <w:t> </w:t>
      </w:r>
      <w:r>
        <w:rPr>
          <w:color w:val="424242"/>
          <w:position w:val="-6"/>
        </w:rPr>
        <w:drawing>
          <wp:inline distT="0" distB="0" distL="0" distR="0">
            <wp:extent cx="165334" cy="1619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6"/>
        </w:rPr>
      </w:r>
      <w:r>
        <w:rPr>
          <w:rFonts w:ascii="Times New Roman"/>
          <w:color w:val="424242"/>
          <w:spacing w:val="80"/>
          <w:w w:val="105"/>
        </w:rPr>
        <w:t> </w:t>
      </w:r>
      <w:r>
        <w:rPr>
          <w:color w:val="424242"/>
          <w:w w:val="105"/>
        </w:rPr>
        <w:t>City, ST</w:t>
      </w:r>
    </w:p>
    <w:p>
      <w:pPr>
        <w:pStyle w:val="Heading2"/>
      </w:pPr>
      <w:r>
        <w:rPr>
          <w:color w:val="785E93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201" w:lineRule="auto" w:before="199" w:after="0"/>
        <w:ind w:left="349" w:right="25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Reviewed and underwrote 1,200+ residential and commercial loan applications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annually, maintaining a 98% accuracy rate and a 95% on-time decision metric</w:t>
      </w:r>
    </w:p>
    <w:p>
      <w:pPr>
        <w:pStyle w:val="BodyText"/>
        <w:spacing w:before="26"/>
        <w:ind w:left="349"/>
      </w:pPr>
      <w:r>
        <w:rPr>
          <w:w w:val="105"/>
        </w:rPr>
        <w:t>across</w:t>
      </w:r>
      <w:r>
        <w:rPr>
          <w:spacing w:val="12"/>
          <w:w w:val="105"/>
        </w:rPr>
        <w:t> </w:t>
      </w:r>
      <w:r>
        <w:rPr>
          <w:w w:val="105"/>
        </w:rPr>
        <w:t>all</w:t>
      </w:r>
      <w:r>
        <w:rPr>
          <w:spacing w:val="13"/>
          <w:w w:val="105"/>
        </w:rPr>
        <w:t> </w:t>
      </w:r>
      <w:r>
        <w:rPr>
          <w:w w:val="105"/>
        </w:rPr>
        <w:t>file</w:t>
      </w:r>
      <w:r>
        <w:rPr>
          <w:spacing w:val="12"/>
          <w:w w:val="105"/>
        </w:rPr>
        <w:t> </w:t>
      </w:r>
      <w:r>
        <w:rPr>
          <w:w w:val="105"/>
        </w:rPr>
        <w:t>types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loan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programs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201" w:lineRule="auto" w:before="89" w:after="0"/>
        <w:ind w:left="349" w:right="136" w:hanging="298"/>
        <w:jc w:val="left"/>
        <w:rPr>
          <w:sz w:val="18"/>
        </w:rPr>
      </w:pPr>
      <w:r>
        <w:rPr>
          <w:w w:val="105"/>
          <w:sz w:val="18"/>
        </w:rPr>
        <w:t>Conducted detailed income, asset, credit, and collateral analyses, implementing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enhanced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checklists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post-closing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defect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40%</w:t>
      </w:r>
    </w:p>
    <w:p>
      <w:pPr>
        <w:pStyle w:val="BodyText"/>
        <w:spacing w:line="183" w:lineRule="exact"/>
        <w:ind w:left="349"/>
      </w:pPr>
      <w:r>
        <w:rPr>
          <w:w w:val="105"/>
        </w:rPr>
        <w:t>across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departmental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portfolio</w:t>
      </w:r>
    </w:p>
    <w:p>
      <w:pPr>
        <w:pStyle w:val="BodyText"/>
        <w:spacing w:after="0" w:line="183" w:lineRule="exact"/>
        <w:sectPr>
          <w:type w:val="continuous"/>
          <w:pgSz w:w="11920" w:h="16860"/>
          <w:pgMar w:top="820" w:bottom="280" w:left="283" w:right="283"/>
          <w:cols w:num="2" w:equalWidth="0">
            <w:col w:w="2594" w:space="1331"/>
            <w:col w:w="7429"/>
          </w:cols>
        </w:sectPr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39" w:after="0"/>
        <w:ind w:left="646" w:right="183" w:hanging="298"/>
        <w:jc w:val="left"/>
        <w:rPr>
          <w:position w:val="-4"/>
          <w:sz w:val="31"/>
        </w:rPr>
      </w:pPr>
      <w:r>
        <w:rPr>
          <w:w w:val="105"/>
          <w:sz w:val="18"/>
        </w:rPr>
        <w:t>Bachelor of Science in </w:t>
      </w:r>
      <w:r>
        <w:rPr>
          <w:spacing w:val="-2"/>
          <w:w w:val="105"/>
          <w:sz w:val="18"/>
        </w:rPr>
        <w:t>Finance</w:t>
      </w:r>
    </w:p>
    <w:p>
      <w:pPr>
        <w:pStyle w:val="BodyText"/>
        <w:spacing w:line="520" w:lineRule="atLeast" w:before="12"/>
        <w:ind w:right="38"/>
      </w:pPr>
      <w:r>
        <w:rPr/>
        <w:t>State University, City, ST May 2016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114" w:after="0"/>
        <w:ind w:left="646" w:right="865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Trained and mentored a team of 4 junior underwriters on credit analysis methodology, FNMA/FHLMC guidelines, and QM compliance, improving</w:t>
      </w:r>
    </w:p>
    <w:p>
      <w:pPr>
        <w:pStyle w:val="BodyText"/>
      </w:pPr>
      <w:r>
        <w:rPr>
          <w:w w:val="105"/>
        </w:rPr>
        <w:t>departmental</w:t>
      </w:r>
      <w:r>
        <w:rPr>
          <w:spacing w:val="16"/>
          <w:w w:val="105"/>
        </w:rPr>
        <w:t> </w:t>
      </w:r>
      <w:r>
        <w:rPr>
          <w:w w:val="105"/>
        </w:rPr>
        <w:t>throughput</w:t>
      </w:r>
      <w:r>
        <w:rPr>
          <w:spacing w:val="17"/>
          <w:w w:val="105"/>
        </w:rPr>
        <w:t> </w:t>
      </w:r>
      <w:r>
        <w:rPr>
          <w:w w:val="105"/>
        </w:rPr>
        <w:t>by</w:t>
      </w:r>
      <w:r>
        <w:rPr>
          <w:spacing w:val="17"/>
          <w:w w:val="105"/>
        </w:rPr>
        <w:t> </w:t>
      </w:r>
      <w:r>
        <w:rPr>
          <w:w w:val="105"/>
        </w:rPr>
        <w:t>25%</w:t>
      </w:r>
      <w:r>
        <w:rPr>
          <w:spacing w:val="17"/>
          <w:w w:val="105"/>
        </w:rPr>
        <w:t> </w:t>
      </w:r>
      <w:r>
        <w:rPr>
          <w:w w:val="105"/>
        </w:rPr>
        <w:t>over</w:t>
      </w:r>
      <w:r>
        <w:rPr>
          <w:spacing w:val="17"/>
          <w:w w:val="105"/>
        </w:rPr>
        <w:t> </w:t>
      </w:r>
      <w:r>
        <w:rPr>
          <w:w w:val="105"/>
        </w:rPr>
        <w:t>6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102" w:after="0"/>
        <w:ind w:left="646" w:right="280" w:hanging="298"/>
        <w:jc w:val="left"/>
        <w:rPr>
          <w:position w:val="-4"/>
          <w:sz w:val="31"/>
        </w:rPr>
      </w:pPr>
      <w:r>
        <w:rPr>
          <w:w w:val="105"/>
          <w:sz w:val="18"/>
        </w:rPr>
        <w:t>Collaborated with loan officers to identify and resolve file eligibility issues, reducing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pull-back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20%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upfront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loan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structure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review</w:t>
      </w:r>
    </w:p>
    <w:p>
      <w:pPr>
        <w:pStyle w:val="BodyText"/>
        <w:spacing w:before="41"/>
      </w:pP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pre-submission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guidance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283" w:right="283"/>
          <w:cols w:num="2" w:equalWidth="0">
            <w:col w:w="2780" w:space="846"/>
            <w:col w:w="7728"/>
          </w:cols>
        </w:sectPr>
      </w:pPr>
    </w:p>
    <w:p>
      <w:pPr>
        <w:pStyle w:val="Heading2"/>
        <w:spacing w:before="251"/>
      </w:pPr>
      <w:r>
        <w:rPr>
          <w:color w:val="785E93"/>
        </w:rPr>
        <w:t>Key</w:t>
      </w:r>
      <w:r>
        <w:rPr>
          <w:color w:val="785E93"/>
          <w:spacing w:val="25"/>
        </w:rPr>
        <w:t> </w:t>
      </w:r>
      <w:r>
        <w:rPr>
          <w:color w:val="785E93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9" w:lineRule="auto" w:before="102" w:after="0"/>
        <w:ind w:left="349" w:right="26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Reviewed and rendered decisions on exception requests for complex borrower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profiles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self-employed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income,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non-warrantable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condos,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foreign</w:t>
      </w:r>
    </w:p>
    <w:p>
      <w:pPr>
        <w:pStyle w:val="BodyText"/>
        <w:spacing w:line="138" w:lineRule="exact" w:before="41"/>
        <w:ind w:left="349"/>
      </w:pPr>
      <w:r>
        <w:rPr>
          <w:w w:val="105"/>
        </w:rPr>
        <w:t>national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borrowers</w:t>
      </w:r>
    </w:p>
    <w:p>
      <w:pPr>
        <w:pStyle w:val="BodyText"/>
        <w:spacing w:after="0" w:line="138" w:lineRule="exact"/>
        <w:sectPr>
          <w:type w:val="continuous"/>
          <w:pgSz w:w="11920" w:h="16860"/>
          <w:pgMar w:top="820" w:bottom="280" w:left="283" w:right="283"/>
          <w:cols w:num="2" w:equalWidth="0">
            <w:col w:w="1073" w:space="2851"/>
            <w:col w:w="7430"/>
          </w:cols>
        </w:sectPr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51" w:after="0"/>
        <w:ind w:left="646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Residential mortgage credit risk assessment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110" w:after="0"/>
        <w:ind w:left="646" w:right="383" w:hanging="298"/>
        <w:jc w:val="left"/>
        <w:rPr>
          <w:position w:val="-4"/>
          <w:sz w:val="31"/>
        </w:rPr>
      </w:pPr>
      <w:r>
        <w:rPr>
          <w:w w:val="105"/>
          <w:sz w:val="18"/>
        </w:rPr>
        <w:t>Income, asset, and employment verification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171" w:after="0"/>
        <w:ind w:left="646" w:right="195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Participated in 3 external QC audits, achieving zero material deficiency findings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department's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selection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preferred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correspondent</w:t>
      </w:r>
    </w:p>
    <w:p>
      <w:pPr>
        <w:pStyle w:val="BodyText"/>
        <w:spacing w:before="41"/>
      </w:pPr>
      <w:r>
        <w:rPr>
          <w:w w:val="105"/>
        </w:rPr>
        <w:t>lender</w:t>
      </w:r>
      <w:r>
        <w:rPr>
          <w:spacing w:val="16"/>
          <w:w w:val="105"/>
        </w:rPr>
        <w:t> </w:t>
      </w:r>
      <w:r>
        <w:rPr>
          <w:w w:val="105"/>
        </w:rPr>
        <w:t>by</w:t>
      </w:r>
      <w:r>
        <w:rPr>
          <w:spacing w:val="17"/>
          <w:w w:val="105"/>
        </w:rPr>
        <w:t> </w:t>
      </w:r>
      <w:r>
        <w:rPr>
          <w:w w:val="105"/>
        </w:rPr>
        <w:t>2</w:t>
      </w:r>
      <w:r>
        <w:rPr>
          <w:spacing w:val="17"/>
          <w:w w:val="105"/>
        </w:rPr>
        <w:t> </w:t>
      </w:r>
      <w:r>
        <w:rPr>
          <w:w w:val="105"/>
        </w:rPr>
        <w:t>agency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investors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283" w:right="283"/>
          <w:cols w:num="2" w:equalWidth="0">
            <w:col w:w="3087" w:space="540"/>
            <w:col w:w="7727"/>
          </w:cols>
        </w:sectPr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98" w:after="0"/>
        <w:ind w:left="646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Regulatory compliance </w:t>
      </w:r>
      <w:r>
        <w:rPr>
          <w:sz w:val="18"/>
        </w:rPr>
        <w:t>(QM/ATR, FNMA, FHLMC)</w:t>
      </w:r>
    </w:p>
    <w:p>
      <w:pPr>
        <w:pStyle w:val="BodyText"/>
        <w:spacing w:line="285" w:lineRule="auto" w:before="75"/>
        <w:ind w:left="349" w:right="2254"/>
      </w:pPr>
      <w:r>
        <w:rPr/>
        <w:br w:type="column"/>
      </w:r>
      <w:r>
        <w:rPr/>
        <w:t>MORTGAGE UNDERWRITER </w:t>
      </w:r>
      <w:r>
        <w:rPr>
          <w:position w:val="2"/>
        </w:rPr>
        <w:t>| </w:t>
      </w:r>
      <w:r>
        <w:rPr/>
        <w:t>FIRSTCHOICE BANK | CITY, ST AUGUST 2016 – FEBRUARY 2019</w:t>
      </w:r>
    </w:p>
    <w:p>
      <w:pPr>
        <w:pStyle w:val="BodyText"/>
        <w:spacing w:after="0" w:line="285" w:lineRule="auto"/>
        <w:sectPr>
          <w:type w:val="continuous"/>
          <w:pgSz w:w="11920" w:h="16860"/>
          <w:pgMar w:top="820" w:bottom="280" w:left="283" w:right="283"/>
          <w:cols w:num="2" w:equalWidth="0">
            <w:col w:w="2923" w:space="462"/>
            <w:col w:w="7969"/>
          </w:cols>
        </w:sectPr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4" w:lineRule="auto" w:before="61" w:after="0"/>
        <w:ind w:left="646" w:right="265" w:hanging="298"/>
        <w:jc w:val="left"/>
        <w:rPr>
          <w:position w:val="-2"/>
          <w:sz w:val="31"/>
        </w:rPr>
      </w:pPr>
      <w:r>
        <w:rPr>
          <w:position w:val="-2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396073" y="9801223"/>
                            <a:ext cx="517271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903605">
                                <a:moveTo>
                                  <a:pt x="0" y="903351"/>
                                </a:moveTo>
                                <a:lnTo>
                                  <a:pt x="5172110" y="903351"/>
                                </a:lnTo>
                                <a:lnTo>
                                  <a:pt x="5172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3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68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86050">
                                <a:moveTo>
                                  <a:pt x="7568183" y="2686049"/>
                                </a:moveTo>
                                <a:lnTo>
                                  <a:pt x="0" y="26860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86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0299" y="2686049"/>
                            <a:ext cx="5168265" cy="711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7115175">
                                <a:moveTo>
                                  <a:pt x="5167883" y="7115174"/>
                                </a:moveTo>
                                <a:lnTo>
                                  <a:pt x="0" y="7115174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7115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0352" id="docshapegroup1" coordorigin="0,0" coordsize="11919,16858">
                <v:rect style="position:absolute;left:3773;top:15435;width:8146;height:1423" id="docshape2" filled="true" fillcolor="#785e93" stroked="false">
                  <v:fill opacity="32899f" type="solid"/>
                </v:rect>
                <v:rect style="position:absolute;left:0;top:0;width:11919;height:4230" id="docshape3" filled="true" fillcolor="#424242" stroked="false">
                  <v:fill type="solid"/>
                </v:rect>
                <v:rect style="position:absolute;left:3780;top:4230;width:8139;height:11205" id="docshape4" filled="true" fillcolor="#785e93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Post-closing defect analysis and reduction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107" w:after="0"/>
        <w:ind w:left="646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Junior underwriter training and </w:t>
      </w:r>
      <w:r>
        <w:rPr>
          <w:spacing w:val="-2"/>
          <w:w w:val="105"/>
          <w:sz w:val="18"/>
        </w:rPr>
        <w:t>mentoring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98" w:after="0"/>
        <w:ind w:left="646" w:right="522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Conventional, FHA, and </w:t>
      </w:r>
      <w:r>
        <w:rPr>
          <w:spacing w:val="2"/>
          <w:w w:val="105"/>
          <w:sz w:val="18"/>
        </w:rPr>
        <w:t>government-backed</w:t>
      </w:r>
      <w:r>
        <w:rPr>
          <w:spacing w:val="32"/>
          <w:w w:val="105"/>
          <w:sz w:val="18"/>
        </w:rPr>
        <w:t> </w:t>
      </w:r>
      <w:r>
        <w:rPr>
          <w:spacing w:val="-4"/>
          <w:w w:val="105"/>
          <w:sz w:val="18"/>
        </w:rPr>
        <w:t>loan</w:t>
      </w:r>
    </w:p>
    <w:p>
      <w:pPr>
        <w:pStyle w:val="BodyText"/>
      </w:pPr>
      <w:r>
        <w:rPr>
          <w:spacing w:val="-2"/>
          <w:w w:val="105"/>
        </w:rPr>
        <w:t>underwriting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90" w:after="0"/>
        <w:ind w:left="646" w:right="618" w:hanging="298"/>
        <w:jc w:val="left"/>
        <w:rPr>
          <w:position w:val="-4"/>
          <w:sz w:val="31"/>
        </w:rPr>
      </w:pPr>
      <w:r>
        <w:rPr>
          <w:w w:val="105"/>
          <w:sz w:val="18"/>
        </w:rPr>
        <w:t>Automated underwriting systems (DU, LP)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82" w:after="0"/>
        <w:ind w:left="646" w:right="244" w:hanging="298"/>
        <w:jc w:val="left"/>
        <w:rPr>
          <w:position w:val="-4"/>
          <w:sz w:val="31"/>
        </w:rPr>
      </w:pPr>
      <w:r>
        <w:rPr>
          <w:w w:val="105"/>
          <w:sz w:val="18"/>
        </w:rPr>
        <w:t>File pull-back resolution and eligibility analysis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108" w:after="0"/>
        <w:ind w:left="646" w:right="635" w:hanging="298"/>
        <w:jc w:val="left"/>
        <w:rPr>
          <w:position w:val="-4"/>
          <w:sz w:val="31"/>
        </w:rPr>
      </w:pPr>
      <w:r>
        <w:rPr>
          <w:w w:val="105"/>
          <w:sz w:val="18"/>
        </w:rPr>
        <w:t>First-pass approval rate </w:t>
      </w:r>
      <w:r>
        <w:rPr>
          <w:spacing w:val="-2"/>
          <w:w w:val="105"/>
          <w:sz w:val="18"/>
        </w:rPr>
        <w:t>optimization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185" w:after="0"/>
        <w:ind w:left="646" w:right="17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Underwrote 800+ conventional and government-backed loan applications 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year, achieving a 90% first-pass approval rate through thorough upfront analysis</w:t>
      </w:r>
    </w:p>
    <w:p>
      <w:pPr>
        <w:pStyle w:val="BodyText"/>
      </w:pP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proactive</w:t>
      </w:r>
      <w:r>
        <w:rPr>
          <w:spacing w:val="22"/>
          <w:w w:val="105"/>
        </w:rPr>
        <w:t> </w:t>
      </w:r>
      <w:r>
        <w:rPr>
          <w:w w:val="105"/>
        </w:rPr>
        <w:t>borrower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communication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90" w:after="0"/>
        <w:ind w:left="646" w:right="199" w:hanging="298"/>
        <w:jc w:val="left"/>
        <w:rPr>
          <w:position w:val="-4"/>
          <w:sz w:val="31"/>
        </w:rPr>
      </w:pPr>
      <w:r>
        <w:rPr>
          <w:w w:val="105"/>
          <w:sz w:val="18"/>
        </w:rPr>
        <w:t>Collaborated with loan officers on 100+ suspended or conditioned loan files 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year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resolve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eligibility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issues,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file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pull-back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14</w:t>
      </w:r>
    </w:p>
    <w:p>
      <w:pPr>
        <w:pStyle w:val="BodyText"/>
      </w:pPr>
      <w:r>
        <w:rPr>
          <w:w w:val="105"/>
        </w:rPr>
        <w:t>days</w:t>
      </w:r>
      <w:r>
        <w:rPr>
          <w:spacing w:val="8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8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days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90" w:after="0"/>
        <w:ind w:left="646" w:right="98" w:hanging="298"/>
        <w:jc w:val="left"/>
        <w:rPr>
          <w:position w:val="-4"/>
          <w:sz w:val="31"/>
        </w:rPr>
      </w:pPr>
      <w:r>
        <w:rPr>
          <w:w w:val="105"/>
          <w:sz w:val="18"/>
        </w:rPr>
        <w:t>Maintained expert knowledge of FNMA, FHLMC, FHA, and VA guideline updates, attending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6+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annual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sessions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applying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updated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requirements</w:t>
      </w:r>
    </w:p>
    <w:p>
      <w:pPr>
        <w:pStyle w:val="BodyText"/>
      </w:pPr>
      <w:r>
        <w:rPr>
          <w:w w:val="105"/>
        </w:rPr>
        <w:t>immediately</w:t>
      </w:r>
      <w:r>
        <w:rPr>
          <w:spacing w:val="21"/>
          <w:w w:val="105"/>
        </w:rPr>
        <w:t> </w:t>
      </w:r>
      <w:r>
        <w:rPr>
          <w:w w:val="105"/>
        </w:rPr>
        <w:t>upon</w:t>
      </w:r>
      <w:r>
        <w:rPr>
          <w:spacing w:val="22"/>
          <w:w w:val="105"/>
        </w:rPr>
        <w:t> </w:t>
      </w:r>
      <w:r>
        <w:rPr>
          <w:w w:val="105"/>
        </w:rPr>
        <w:t>effective</w:t>
      </w:r>
      <w:r>
        <w:rPr>
          <w:spacing w:val="21"/>
          <w:w w:val="105"/>
        </w:rPr>
        <w:t> </w:t>
      </w:r>
      <w:r>
        <w:rPr>
          <w:spacing w:val="-4"/>
          <w:w w:val="105"/>
        </w:rPr>
        <w:t>dates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101" w:after="0"/>
        <w:ind w:left="646" w:right="123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the onboarding of 3 new underwriters by sharing decision rationale,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providing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file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feedback,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co-reviewing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complex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files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first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60</w:t>
      </w:r>
    </w:p>
    <w:p>
      <w:pPr>
        <w:pStyle w:val="BodyText"/>
        <w:spacing w:before="42"/>
      </w:pPr>
      <w:r>
        <w:rPr>
          <w:w w:val="105"/>
        </w:rPr>
        <w:t>days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14"/>
          <w:w w:val="105"/>
        </w:rPr>
        <w:t> </w:t>
      </w:r>
      <w:r>
        <w:rPr>
          <w:w w:val="105"/>
        </w:rPr>
        <w:t>their</w:t>
      </w:r>
      <w:r>
        <w:rPr>
          <w:spacing w:val="15"/>
          <w:w w:val="105"/>
        </w:rPr>
        <w:t> </w:t>
      </w:r>
      <w:r>
        <w:rPr>
          <w:w w:val="105"/>
        </w:rPr>
        <w:t>training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period</w:t>
      </w:r>
    </w:p>
    <w:sectPr>
      <w:type w:val="continuous"/>
      <w:pgSz w:w="11920" w:h="16860"/>
      <w:pgMar w:top="820" w:bottom="280" w:left="283" w:right="283"/>
      <w:cols w:num="2" w:equalWidth="0">
        <w:col w:w="3339" w:space="288"/>
        <w:col w:w="77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5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5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4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5"/>
      <w:ind w:left="646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12" w:right="9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"/>
      <w:ind w:left="51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646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2026-03-20T15:05:32Z</dcterms:created>
  <dcterms:modified xsi:type="dcterms:W3CDTF">2026-03-20T15:05:32Z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