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7"/>
        <w:rPr>
          <w:rFonts w:ascii="Times New Roman"/>
          <w:sz w:val="74"/>
        </w:rPr>
      </w:pPr>
    </w:p>
    <w:p>
      <w:pPr>
        <w:spacing w:before="0"/>
        <w:ind w:left="4264" w:right="0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-663910</wp:posOffset>
                </wp:positionV>
                <wp:extent cx="2447925" cy="24098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447925" cy="2409825"/>
                          <a:chExt cx="2447925" cy="24098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47925" cy="2409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09825">
                                <a:moveTo>
                                  <a:pt x="1200058" y="2409229"/>
                                </a:moveTo>
                                <a:lnTo>
                                  <a:pt x="0" y="1750270"/>
                                </a:lnTo>
                                <a:lnTo>
                                  <a:pt x="0" y="0"/>
                                </a:lnTo>
                                <a:lnTo>
                                  <a:pt x="2447925" y="0"/>
                                </a:lnTo>
                                <a:lnTo>
                                  <a:pt x="2447925" y="1748378"/>
                                </a:lnTo>
                                <a:lnTo>
                                  <a:pt x="1200058" y="2409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4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447925" cy="2409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1"/>
                                <w:rPr>
                                  <w:sz w:val="8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7" w:firstLine="0"/>
                                <w:jc w:val="center"/>
                                <w:rPr>
                                  <w:b/>
                                  <w:sz w:val="8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89"/>
                                </w:rPr>
                                <w:t>JM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-52.276405pt;width:192.75pt;height:189.75pt;mso-position-horizontal-relative:page;mso-position-vertical-relative:paragraph;z-index:15729664" id="docshapegroup1" coordorigin="0,-1046" coordsize="3855,3795">
                <v:shape style="position:absolute;left:0;top:-1046;width:3855;height:3795" id="docshape2" coordorigin="0,-1046" coordsize="3855,3795" path="m1890,2749l0,1711,0,-1046,3855,-1046,3855,1708,1890,2749xe" filled="true" fillcolor="#c24b8b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1046;width:3855;height:3795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61"/>
                          <w:rPr>
                            <w:sz w:val="89"/>
                          </w:rPr>
                        </w:pPr>
                      </w:p>
                      <w:p>
                        <w:pPr>
                          <w:spacing w:before="0"/>
                          <w:ind w:left="0" w:right="7" w:firstLine="0"/>
                          <w:jc w:val="center"/>
                          <w:rPr>
                            <w:b/>
                            <w:sz w:val="89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89"/>
                          </w:rPr>
                          <w:t>JM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C24B8B"/>
          <w:spacing w:val="11"/>
          <w:sz w:val="74"/>
        </w:rPr>
        <w:t>Jordan</w:t>
      </w:r>
      <w:r>
        <w:rPr>
          <w:b/>
          <w:color w:val="C24B8B"/>
          <w:spacing w:val="34"/>
          <w:sz w:val="74"/>
        </w:rPr>
        <w:t> </w:t>
      </w:r>
      <w:r>
        <w:rPr>
          <w:color w:val="C24B8B"/>
          <w:spacing w:val="9"/>
          <w:sz w:val="74"/>
        </w:rPr>
        <w:t>Miller</w:t>
      </w:r>
    </w:p>
    <w:p>
      <w:pPr>
        <w:spacing w:before="274"/>
        <w:ind w:left="4275" w:right="0" w:firstLine="0"/>
        <w:jc w:val="center"/>
        <w:rPr>
          <w:b/>
          <w:sz w:val="18"/>
        </w:rPr>
      </w:pPr>
      <w:r>
        <w:rPr>
          <w:b/>
          <w:color w:val="C24B8B"/>
          <w:w w:val="105"/>
          <w:sz w:val="18"/>
        </w:rPr>
        <w:t>Mortgage</w:t>
      </w:r>
      <w:r>
        <w:rPr>
          <w:b/>
          <w:color w:val="C24B8B"/>
          <w:spacing w:val="10"/>
          <w:w w:val="105"/>
          <w:sz w:val="18"/>
        </w:rPr>
        <w:t> </w:t>
      </w:r>
      <w:r>
        <w:rPr>
          <w:b/>
          <w:color w:val="C24B8B"/>
          <w:spacing w:val="-2"/>
          <w:w w:val="105"/>
          <w:sz w:val="18"/>
        </w:rPr>
        <w:t>Banker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after="0"/>
        <w:rPr>
          <w:b/>
          <w:sz w:val="19"/>
        </w:rPr>
        <w:sectPr>
          <w:type w:val="continuous"/>
          <w:pgSz w:w="11920" w:h="16860"/>
          <w:pgMar w:top="0" w:bottom="0" w:left="0" w:right="425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37"/>
        <w:rPr>
          <w:b/>
          <w:sz w:val="22"/>
        </w:rPr>
      </w:pPr>
    </w:p>
    <w:p>
      <w:pPr>
        <w:pStyle w:val="Heading1"/>
      </w:pPr>
      <w:r>
        <w:rPr>
          <w:smallCaps/>
          <w:color w:val="FFFFFF"/>
          <w:spacing w:val="-2"/>
        </w:rPr>
        <w:t>Contact</w:t>
      </w:r>
      <w:r>
        <w:rPr>
          <w:smallCaps/>
          <w:color w:val="FFFFFF"/>
          <w:spacing w:val="-4"/>
        </w:rPr>
        <w:t> </w:t>
      </w:r>
      <w:r>
        <w:rPr>
          <w:smallCaps/>
          <w:color w:val="FFFFFF"/>
          <w:spacing w:val="-2"/>
        </w:rPr>
        <w:t>information</w:t>
      </w:r>
    </w:p>
    <w:p>
      <w:pPr>
        <w:pStyle w:val="BodyText"/>
        <w:spacing w:before="150"/>
        <w:rPr>
          <w:b/>
          <w:sz w:val="22"/>
        </w:rPr>
      </w:pPr>
    </w:p>
    <w:p>
      <w:pPr>
        <w:pStyle w:val="BodyText"/>
        <w:ind w:left="479"/>
      </w:pPr>
      <w:r>
        <w:rPr>
          <w:position w:val="-12"/>
        </w:rPr>
        <w:drawing>
          <wp:inline distT="0" distB="0" distL="0" distR="0">
            <wp:extent cx="247649" cy="2381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FFFFFF"/>
          <w:w w:val="105"/>
        </w:rPr>
        <w:t>(555) 000-0000</w:t>
      </w:r>
    </w:p>
    <w:p>
      <w:pPr>
        <w:pStyle w:val="BodyText"/>
        <w:spacing w:line="316" w:lineRule="auto" w:before="135"/>
        <w:ind w:left="479" w:right="494"/>
      </w:pPr>
      <w:r>
        <w:rPr>
          <w:position w:val="-14"/>
        </w:rPr>
        <w:drawing>
          <wp:inline distT="0" distB="0" distL="0" distR="0">
            <wp:extent cx="247649" cy="23812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7">
        <w:r>
          <w:rPr>
            <w:color w:val="FFFFFF"/>
            <w:w w:val="105"/>
          </w:rPr>
          <w:t>email@example.com</w:t>
        </w:r>
      </w:hyperlink>
      <w:r>
        <w:rPr>
          <w:color w:val="FFFFFF"/>
          <w:w w:val="105"/>
        </w:rPr>
        <w:t> </w:t>
      </w:r>
      <w:r>
        <w:rPr>
          <w:color w:val="FFFFFF"/>
          <w:position w:val="-12"/>
        </w:rPr>
        <w:drawing>
          <wp:inline distT="0" distB="0" distL="0" distR="0">
            <wp:extent cx="247649" cy="2381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-12"/>
        </w:rPr>
      </w:r>
      <w:r>
        <w:rPr>
          <w:rFonts w:ascii="Times New Roman"/>
          <w:color w:val="FFFFFF"/>
          <w:spacing w:val="80"/>
          <w:w w:val="105"/>
        </w:rPr>
        <w:t> </w:t>
      </w:r>
      <w:r>
        <w:rPr>
          <w:color w:val="FFFFFF"/>
          <w:w w:val="105"/>
        </w:rPr>
        <w:t>City, ST</w:t>
      </w:r>
    </w:p>
    <w:p>
      <w:pPr>
        <w:pStyle w:val="Heading1"/>
        <w:spacing w:before="193"/>
      </w:pPr>
      <w:r>
        <w:rPr>
          <w:smallCaps/>
          <w:color w:val="FFFFFF"/>
        </w:rPr>
        <w:t>Key</w:t>
      </w:r>
      <w:r>
        <w:rPr>
          <w:smallCaps/>
          <w:color w:val="FFFFFF"/>
          <w:spacing w:val="1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pStyle w:val="BodyText"/>
        <w:spacing w:before="147"/>
        <w:rPr>
          <w:b/>
          <w:sz w:val="22"/>
        </w:rPr>
      </w:pPr>
    </w:p>
    <w:p>
      <w:pPr>
        <w:pStyle w:val="BodyText"/>
        <w:tabs>
          <w:tab w:pos="780" w:val="left" w:leader="none"/>
        </w:tabs>
        <w:spacing w:line="278" w:lineRule="auto"/>
        <w:ind w:left="780" w:right="704" w:hanging="301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Residential and jumbo mortgage origination</w:t>
      </w:r>
    </w:p>
    <w:p>
      <w:pPr>
        <w:pStyle w:val="BodyText"/>
        <w:tabs>
          <w:tab w:pos="780" w:val="left" w:leader="none"/>
        </w:tabs>
        <w:spacing w:line="278" w:lineRule="auto" w:before="120"/>
        <w:ind w:left="780" w:right="893" w:hanging="301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Pipeline and closing </w:t>
      </w:r>
      <w:r>
        <w:rPr>
          <w:color w:val="FFFFFF"/>
          <w:spacing w:val="-2"/>
          <w:w w:val="105"/>
        </w:rPr>
        <w:t>management</w:t>
      </w:r>
    </w:p>
    <w:p>
      <w:pPr>
        <w:pStyle w:val="BodyText"/>
        <w:tabs>
          <w:tab w:pos="780" w:val="left" w:leader="none"/>
        </w:tabs>
        <w:spacing w:line="278" w:lineRule="auto" w:before="120"/>
        <w:ind w:left="780" w:right="662" w:hanging="301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Client qualification and financial counseling</w:t>
      </w:r>
    </w:p>
    <w:p>
      <w:pPr>
        <w:pStyle w:val="BodyText"/>
        <w:tabs>
          <w:tab w:pos="780" w:val="left" w:leader="none"/>
        </w:tabs>
        <w:spacing w:line="261" w:lineRule="auto" w:before="120"/>
        <w:ind w:left="780" w:right="457" w:hanging="301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Regulatory compliance (QM/ATR,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RESPA,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TRID)</w:t>
      </w:r>
    </w:p>
    <w:p>
      <w:pPr>
        <w:pStyle w:val="BodyText"/>
        <w:tabs>
          <w:tab w:pos="780" w:val="left" w:leader="none"/>
        </w:tabs>
        <w:spacing w:line="261" w:lineRule="auto" w:before="148"/>
        <w:ind w:left="780" w:right="96" w:hanging="301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Fannie Mae and Freddie Mac guideline expertise</w:t>
      </w:r>
    </w:p>
    <w:p>
      <w:pPr>
        <w:pStyle w:val="BodyText"/>
        <w:tabs>
          <w:tab w:pos="780" w:val="left" w:leader="none"/>
        </w:tabs>
        <w:spacing w:line="278" w:lineRule="auto" w:before="134"/>
        <w:ind w:left="780" w:right="38" w:hanging="301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Referral network development and Realtor partnerships</w:t>
      </w:r>
    </w:p>
    <w:p>
      <w:pPr>
        <w:pStyle w:val="BodyText"/>
        <w:tabs>
          <w:tab w:pos="780" w:val="left" w:leader="none"/>
        </w:tabs>
        <w:spacing w:line="278" w:lineRule="auto" w:before="120"/>
        <w:ind w:left="780" w:right="537" w:hanging="301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Loan officer training and </w:t>
      </w:r>
      <w:r>
        <w:rPr>
          <w:color w:val="FFFFFF"/>
          <w:spacing w:val="-2"/>
          <w:w w:val="105"/>
        </w:rPr>
        <w:t>development</w:t>
      </w:r>
    </w:p>
    <w:p>
      <w:pPr>
        <w:pStyle w:val="BodyText"/>
        <w:tabs>
          <w:tab w:pos="780" w:val="left" w:leader="none"/>
        </w:tabs>
        <w:spacing w:line="278" w:lineRule="auto" w:before="120"/>
        <w:ind w:left="780" w:right="138" w:hanging="301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Borrower documentation and disclosure preparation</w:t>
      </w:r>
    </w:p>
    <w:p>
      <w:pPr>
        <w:pStyle w:val="BodyText"/>
        <w:tabs>
          <w:tab w:pos="780" w:val="left" w:leader="none"/>
        </w:tabs>
        <w:spacing w:line="261" w:lineRule="auto" w:before="120"/>
        <w:ind w:left="780" w:right="494" w:hanging="301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Purchase and refinance transaction management</w:t>
      </w:r>
    </w:p>
    <w:p>
      <w:pPr>
        <w:pStyle w:val="BodyText"/>
        <w:spacing w:line="273" w:lineRule="auto" w:before="75"/>
        <w:ind w:left="473" w:right="9" w:hanging="1"/>
        <w:jc w:val="center"/>
      </w:pPr>
      <w:r>
        <w:rPr/>
        <w:br w:type="column"/>
      </w:r>
      <w:r>
        <w:rPr>
          <w:color w:val="C24B8B"/>
          <w:w w:val="105"/>
        </w:rPr>
        <w:t>Goal-oriented mortgage banker with 4+ years of originating and processing</w:t>
      </w:r>
      <w:r>
        <w:rPr>
          <w:color w:val="C24B8B"/>
          <w:spacing w:val="80"/>
          <w:w w:val="105"/>
        </w:rPr>
        <w:t> </w:t>
      </w:r>
      <w:r>
        <w:rPr>
          <w:color w:val="C24B8B"/>
          <w:w w:val="105"/>
        </w:rPr>
        <w:t>residential and jumbo mortgage products. Originated $75M in residential mortgages surpassing annual targets by 15% in 2023, managed a pipeline of 150+ applications with a 95% on-time closing rate, and built a referral network generating 40% of new business through Realtor partnerships at HomeTrust Mortgage. Expert in client qualification, pipeline management, Fannie Mae and Freddie Mac guidelines, and regulatory compliance.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2447924</wp:posOffset>
                </wp:positionH>
                <wp:positionV relativeFrom="paragraph">
                  <wp:posOffset>125323</wp:posOffset>
                </wp:positionV>
                <wp:extent cx="4819650" cy="952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819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9650" h="9525">
                              <a:moveTo>
                                <a:pt x="4819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819649" y="0"/>
                              </a:lnTo>
                              <a:lnTo>
                                <a:pt x="4819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2.749985pt;margin-top:9.868029pt;width:379.49997pt;height:.75pt;mso-position-horizontal-relative:page;mso-position-vertical-relative:paragraph;z-index:-15728640;mso-wrap-distance-left:0;mso-wrap-distance-right:0" id="docshape4" filled="true" fillcolor="#000000" stroked="false">
                <v:fill opacity="32899f" type="solid"/>
                <w10:wrap type="topAndBottom"/>
              </v:rect>
            </w:pict>
          </mc:Fallback>
        </mc:AlternateContent>
      </w:r>
    </w:p>
    <w:p>
      <w:pPr>
        <w:pStyle w:val="Heading2"/>
        <w:spacing w:before="193"/>
      </w:pPr>
      <w:r>
        <w:rPr>
          <w:color w:val="C24B8B"/>
          <w:sz w:val="29"/>
        </w:rPr>
        <w:t>P</w:t>
      </w:r>
      <w:r>
        <w:rPr>
          <w:color w:val="C24B8B"/>
        </w:rPr>
        <w:t>rofessional</w:t>
      </w:r>
      <w:r>
        <w:rPr>
          <w:color w:val="C24B8B"/>
          <w:spacing w:val="43"/>
        </w:rPr>
        <w:t> </w:t>
      </w:r>
      <w:r>
        <w:rPr>
          <w:color w:val="C24B8B"/>
          <w:spacing w:val="-2"/>
        </w:rPr>
        <w:t>Experience</w:t>
      </w:r>
    </w:p>
    <w:p>
      <w:pPr>
        <w:pStyle w:val="BodyText"/>
        <w:spacing w:line="348" w:lineRule="auto" w:before="264"/>
        <w:ind w:left="297" w:right="1627"/>
      </w:pPr>
      <w:r>
        <w:rPr>
          <w:w w:val="105"/>
        </w:rPr>
        <w:t>MORTGAGE BANKER | HOMETRUST</w:t>
      </w:r>
      <w:r>
        <w:rPr>
          <w:spacing w:val="-2"/>
          <w:w w:val="105"/>
        </w:rPr>
        <w:t> </w:t>
      </w:r>
      <w:r>
        <w:rPr>
          <w:w w:val="105"/>
        </w:rPr>
        <w:t>MORTGAGE | CITY, ST MAY 2020 - PRESENT</w:t>
      </w:r>
    </w:p>
    <w:p>
      <w:pPr>
        <w:pStyle w:val="BodyText"/>
        <w:tabs>
          <w:tab w:pos="817" w:val="left" w:leader="none"/>
        </w:tabs>
        <w:spacing w:line="268" w:lineRule="auto" w:before="165"/>
        <w:ind w:left="817" w:right="547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Originated $75M in residential mortgages in 2023, surpassing the annual production target by 15% and ranking in the top 10% of the company's</w:t>
      </w:r>
      <w:r>
        <w:rPr>
          <w:spacing w:val="40"/>
          <w:w w:val="105"/>
        </w:rPr>
        <w:t> </w:t>
      </w:r>
      <w:r>
        <w:rPr>
          <w:w w:val="105"/>
        </w:rPr>
        <w:t>mortgage banker cohort</w:t>
      </w:r>
    </w:p>
    <w:p>
      <w:pPr>
        <w:pStyle w:val="BodyText"/>
        <w:tabs>
          <w:tab w:pos="817" w:val="left" w:leader="none"/>
        </w:tabs>
        <w:spacing w:line="268" w:lineRule="auto" w:before="100"/>
        <w:ind w:left="817" w:right="547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Managed an active pipeline of 150+ loan applications simultaneously, maintaining a 95% on-time closing rate and a 12-day average processing timeline from application to approval</w:t>
      </w:r>
    </w:p>
    <w:p>
      <w:pPr>
        <w:pStyle w:val="BodyText"/>
        <w:tabs>
          <w:tab w:pos="817" w:val="left" w:leader="none"/>
        </w:tabs>
        <w:spacing w:line="268" w:lineRule="auto" w:before="99"/>
        <w:ind w:left="817" w:right="547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Trained 5 junior loan officers on Fannie Mae and Freddie Mac underwriting guidelines, file submission procedures, and compliance requirements,</w:t>
      </w:r>
      <w:r>
        <w:rPr>
          <w:spacing w:val="40"/>
          <w:w w:val="105"/>
        </w:rPr>
        <w:t> </w:t>
      </w:r>
      <w:r>
        <w:rPr>
          <w:w w:val="105"/>
        </w:rPr>
        <w:t>improving team underwriting accuracy by 20%</w:t>
      </w:r>
    </w:p>
    <w:p>
      <w:pPr>
        <w:pStyle w:val="BodyText"/>
        <w:tabs>
          <w:tab w:pos="817" w:val="left" w:leader="none"/>
        </w:tabs>
        <w:spacing w:line="268" w:lineRule="auto" w:before="100"/>
        <w:ind w:left="817" w:right="335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Developed a tiered referral network with 30+ real estate agents, builders, and</w:t>
      </w:r>
      <w:r>
        <w:rPr>
          <w:spacing w:val="40"/>
          <w:w w:val="105"/>
        </w:rPr>
        <w:t> </w:t>
      </w:r>
      <w:r>
        <w:rPr>
          <w:w w:val="105"/>
        </w:rPr>
        <w:t>financial</w:t>
      </w:r>
      <w:r>
        <w:rPr>
          <w:spacing w:val="37"/>
          <w:w w:val="105"/>
        </w:rPr>
        <w:t> </w:t>
      </w:r>
      <w:r>
        <w:rPr>
          <w:w w:val="105"/>
        </w:rPr>
        <w:t>advisors</w:t>
      </w:r>
      <w:r>
        <w:rPr>
          <w:spacing w:val="37"/>
          <w:w w:val="105"/>
        </w:rPr>
        <w:t> </w:t>
      </w:r>
      <w:r>
        <w:rPr>
          <w:w w:val="105"/>
        </w:rPr>
        <w:t>that</w:t>
      </w:r>
      <w:r>
        <w:rPr>
          <w:spacing w:val="37"/>
          <w:w w:val="105"/>
        </w:rPr>
        <w:t> </w:t>
      </w:r>
      <w:r>
        <w:rPr>
          <w:w w:val="105"/>
        </w:rPr>
        <w:t>generated</w:t>
      </w:r>
      <w:r>
        <w:rPr>
          <w:spacing w:val="37"/>
          <w:w w:val="105"/>
        </w:rPr>
        <w:t> </w:t>
      </w:r>
      <w:r>
        <w:rPr>
          <w:w w:val="105"/>
        </w:rPr>
        <w:t>40%</w:t>
      </w:r>
      <w:r>
        <w:rPr>
          <w:spacing w:val="35"/>
          <w:w w:val="105"/>
        </w:rPr>
        <w:t> </w:t>
      </w:r>
      <w:r>
        <w:rPr>
          <w:w w:val="105"/>
        </w:rPr>
        <w:t>of</w:t>
      </w:r>
      <w:r>
        <w:rPr>
          <w:spacing w:val="37"/>
          <w:w w:val="105"/>
        </w:rPr>
        <w:t> </w:t>
      </w:r>
      <w:r>
        <w:rPr>
          <w:w w:val="105"/>
        </w:rPr>
        <w:t>annual</w:t>
      </w:r>
      <w:r>
        <w:rPr>
          <w:spacing w:val="37"/>
          <w:w w:val="105"/>
        </w:rPr>
        <w:t> </w:t>
      </w:r>
      <w:r>
        <w:rPr>
          <w:w w:val="105"/>
        </w:rPr>
        <w:t>new</w:t>
      </w:r>
      <w:r>
        <w:rPr>
          <w:spacing w:val="37"/>
          <w:w w:val="105"/>
        </w:rPr>
        <w:t> </w:t>
      </w:r>
      <w:r>
        <w:rPr>
          <w:w w:val="105"/>
        </w:rPr>
        <w:t>origination</w:t>
      </w:r>
      <w:r>
        <w:rPr>
          <w:spacing w:val="37"/>
          <w:w w:val="105"/>
        </w:rPr>
        <w:t> </w:t>
      </w:r>
      <w:r>
        <w:rPr>
          <w:w w:val="105"/>
        </w:rPr>
        <w:t>volume through relationship-based sourcing</w:t>
      </w:r>
    </w:p>
    <w:p>
      <w:pPr>
        <w:pStyle w:val="BodyText"/>
        <w:tabs>
          <w:tab w:pos="817" w:val="left" w:leader="none"/>
        </w:tabs>
        <w:spacing w:line="268" w:lineRule="auto" w:before="99"/>
        <w:ind w:left="817" w:right="335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Guided borrowers through mortgage qualification, product selection, and</w:t>
      </w:r>
      <w:r>
        <w:rPr>
          <w:spacing w:val="40"/>
          <w:w w:val="105"/>
        </w:rPr>
        <w:t> </w:t>
      </w:r>
      <w:r>
        <w:rPr>
          <w:w w:val="105"/>
        </w:rPr>
        <w:t>disclosure requirements, achieving a 4.9/5.0 borrower satisfaction rating on post-closing surveys</w:t>
      </w:r>
    </w:p>
    <w:p>
      <w:pPr>
        <w:pStyle w:val="BodyText"/>
        <w:tabs>
          <w:tab w:pos="817" w:val="left" w:leader="none"/>
        </w:tabs>
        <w:spacing w:line="268" w:lineRule="auto" w:before="100"/>
        <w:ind w:left="817" w:right="309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Maintained 100% compliance with QM, ATR, RESPA, and TRID requirements across all originated loans, with zero regulatory findings on 2 consecutive file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audits</w:t>
      </w:r>
    </w:p>
    <w:p>
      <w:pPr>
        <w:pStyle w:val="BodyText"/>
        <w:spacing w:before="12"/>
      </w:pPr>
    </w:p>
    <w:p>
      <w:pPr>
        <w:pStyle w:val="BodyText"/>
        <w:spacing w:line="348" w:lineRule="auto"/>
        <w:ind w:left="297" w:right="1627"/>
      </w:pPr>
      <w:r>
        <w:rPr>
          <w:w w:val="105"/>
        </w:rPr>
        <w:t>LOAN OFFICER | SUBURBAN LENDING GROUP | CITY, ST AUGUST 2018 - APRIL 2020</w:t>
      </w:r>
    </w:p>
    <w:p>
      <w:pPr>
        <w:pStyle w:val="BodyText"/>
        <w:tabs>
          <w:tab w:pos="817" w:val="left" w:leader="none"/>
        </w:tabs>
        <w:spacing w:line="268" w:lineRule="auto" w:before="165"/>
        <w:ind w:left="817" w:right="335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Developed a Realtor and builder referral network from scratch, growing it to</w:t>
      </w:r>
      <w:r>
        <w:rPr>
          <w:spacing w:val="40"/>
          <w:w w:val="105"/>
        </w:rPr>
        <w:t> </w:t>
      </w:r>
      <w:r>
        <w:rPr>
          <w:w w:val="105"/>
        </w:rPr>
        <w:t>15 active partners within 18 months and generating 40% of total new origination business through partner referrals</w:t>
      </w:r>
    </w:p>
    <w:p>
      <w:pPr>
        <w:pStyle w:val="BodyText"/>
        <w:tabs>
          <w:tab w:pos="817" w:val="left" w:leader="none"/>
        </w:tabs>
        <w:spacing w:line="268" w:lineRule="auto" w:before="100"/>
        <w:ind w:left="817" w:right="309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Prepared complete borrower disclosure packages and loan files with 99.5%</w:t>
      </w:r>
      <w:r>
        <w:rPr>
          <w:spacing w:val="40"/>
          <w:w w:val="105"/>
        </w:rPr>
        <w:t> </w:t>
      </w:r>
      <w:r>
        <w:rPr>
          <w:w w:val="105"/>
        </w:rPr>
        <w:t>documentation accuracy, eliminating compliance exceptions across all</w:t>
      </w:r>
      <w:r>
        <w:rPr>
          <w:spacing w:val="40"/>
          <w:w w:val="105"/>
        </w:rPr>
        <w:t> </w:t>
      </w:r>
      <w:r>
        <w:rPr>
          <w:w w:val="105"/>
        </w:rPr>
        <w:t>submitted files</w:t>
      </w:r>
    </w:p>
    <w:p>
      <w:pPr>
        <w:pStyle w:val="BodyText"/>
        <w:tabs>
          <w:tab w:pos="817" w:val="left" w:leader="none"/>
        </w:tabs>
        <w:spacing w:line="268" w:lineRule="auto" w:before="99"/>
        <w:ind w:left="817" w:right="77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Originated $28M in conventional and FHA purchase and refinance mortgages,</w:t>
      </w:r>
      <w:r>
        <w:rPr>
          <w:spacing w:val="40"/>
          <w:w w:val="105"/>
        </w:rPr>
        <w:t> </w:t>
      </w:r>
      <w:r>
        <w:rPr>
          <w:w w:val="105"/>
        </w:rPr>
        <w:t>building</w:t>
      </w:r>
      <w:r>
        <w:rPr>
          <w:spacing w:val="36"/>
          <w:w w:val="105"/>
        </w:rPr>
        <w:t> </w:t>
      </w:r>
      <w:r>
        <w:rPr>
          <w:w w:val="105"/>
        </w:rPr>
        <w:t>a</w:t>
      </w:r>
      <w:r>
        <w:rPr>
          <w:spacing w:val="36"/>
          <w:w w:val="105"/>
        </w:rPr>
        <w:t> </w:t>
      </w:r>
      <w:r>
        <w:rPr>
          <w:w w:val="105"/>
        </w:rPr>
        <w:t>consistent</w:t>
      </w:r>
      <w:r>
        <w:rPr>
          <w:spacing w:val="36"/>
          <w:w w:val="105"/>
        </w:rPr>
        <w:t> </w:t>
      </w:r>
      <w:r>
        <w:rPr>
          <w:w w:val="105"/>
        </w:rPr>
        <w:t>pipeline</w:t>
      </w:r>
      <w:r>
        <w:rPr>
          <w:spacing w:val="36"/>
          <w:w w:val="105"/>
        </w:rPr>
        <w:t> </w:t>
      </w:r>
      <w:r>
        <w:rPr>
          <w:w w:val="105"/>
        </w:rPr>
        <w:t>while</w:t>
      </w:r>
      <w:r>
        <w:rPr>
          <w:spacing w:val="36"/>
          <w:w w:val="105"/>
        </w:rPr>
        <w:t> </w:t>
      </w:r>
      <w:r>
        <w:rPr>
          <w:w w:val="105"/>
        </w:rPr>
        <w:t>managing</w:t>
      </w:r>
      <w:r>
        <w:rPr>
          <w:spacing w:val="36"/>
          <w:w w:val="105"/>
        </w:rPr>
        <w:t> </w:t>
      </w:r>
      <w:r>
        <w:rPr>
          <w:w w:val="105"/>
        </w:rPr>
        <w:t>an</w:t>
      </w:r>
      <w:r>
        <w:rPr>
          <w:spacing w:val="36"/>
          <w:w w:val="105"/>
        </w:rPr>
        <w:t> </w:t>
      </w:r>
      <w:r>
        <w:rPr>
          <w:w w:val="105"/>
        </w:rPr>
        <w:t>average</w:t>
      </w:r>
      <w:r>
        <w:rPr>
          <w:spacing w:val="36"/>
          <w:w w:val="105"/>
        </w:rPr>
        <w:t> </w:t>
      </w:r>
      <w:r>
        <w:rPr>
          <w:w w:val="105"/>
        </w:rPr>
        <w:t>of</w:t>
      </w:r>
      <w:r>
        <w:rPr>
          <w:spacing w:val="36"/>
          <w:w w:val="105"/>
        </w:rPr>
        <w:t> </w:t>
      </w:r>
      <w:r>
        <w:rPr>
          <w:w w:val="105"/>
        </w:rPr>
        <w:t>40</w:t>
      </w:r>
      <w:r>
        <w:rPr>
          <w:spacing w:val="36"/>
          <w:w w:val="105"/>
        </w:rPr>
        <w:t> </w:t>
      </w:r>
      <w:r>
        <w:rPr>
          <w:w w:val="105"/>
        </w:rPr>
        <w:t>active</w:t>
      </w:r>
      <w:r>
        <w:rPr>
          <w:spacing w:val="36"/>
          <w:w w:val="105"/>
        </w:rPr>
        <w:t> </w:t>
      </w:r>
      <w:r>
        <w:rPr>
          <w:w w:val="105"/>
        </w:rPr>
        <w:t>loan files simultaneously</w:t>
      </w:r>
    </w:p>
    <w:p>
      <w:pPr>
        <w:pStyle w:val="BodyText"/>
        <w:tabs>
          <w:tab w:pos="817" w:val="left" w:leader="none"/>
        </w:tabs>
        <w:spacing w:line="268" w:lineRule="auto" w:before="100"/>
        <w:ind w:left="817" w:right="547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Educated first-time homebuyers on mortgage products, credit improvement</w:t>
      </w:r>
      <w:r>
        <w:rPr>
          <w:spacing w:val="40"/>
          <w:w w:val="105"/>
        </w:rPr>
        <w:t> </w:t>
      </w:r>
      <w:r>
        <w:rPr>
          <w:w w:val="105"/>
        </w:rPr>
        <w:t>strategies, and down payment assistance programs, converting 35% of consultations into closed transactions</w:t>
      </w:r>
    </w:p>
    <w:p>
      <w:pPr>
        <w:pStyle w:val="Heading2"/>
      </w:pPr>
      <w:r>
        <w:rPr>
          <w:color w:val="C24B8B"/>
          <w:spacing w:val="-2"/>
          <w:sz w:val="29"/>
        </w:rPr>
        <w:t>E</w:t>
      </w:r>
      <w:r>
        <w:rPr>
          <w:color w:val="C24B8B"/>
          <w:spacing w:val="-2"/>
        </w:rPr>
        <w:t>ducation</w:t>
      </w:r>
    </w:p>
    <w:p>
      <w:pPr>
        <w:pStyle w:val="Heading2"/>
        <w:spacing w:after="0"/>
        <w:sectPr>
          <w:type w:val="continuous"/>
          <w:pgSz w:w="11920" w:h="16860"/>
          <w:pgMar w:top="0" w:bottom="0" w:left="0" w:right="425"/>
          <w:cols w:num="2" w:equalWidth="0">
            <w:col w:w="3401" w:space="412"/>
            <w:col w:w="7682"/>
          </w:cols>
        </w:sectPr>
      </w:pPr>
    </w:p>
    <w:p>
      <w:pPr>
        <w:pStyle w:val="BodyText"/>
        <w:spacing w:before="73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47925" cy="1070483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44792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7925" h="10704830">
                              <a:moveTo>
                                <a:pt x="0" y="10704575"/>
                              </a:moveTo>
                              <a:lnTo>
                                <a:pt x="0" y="0"/>
                              </a:lnTo>
                              <a:lnTo>
                                <a:pt x="2447924" y="0"/>
                              </a:lnTo>
                              <a:lnTo>
                                <a:pt x="2447924" y="10704575"/>
                              </a:lnTo>
                              <a:lnTo>
                                <a:pt x="0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E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192.749983pt;height:842.879997pt;mso-position-horizontal-relative:page;mso-position-vertical-relative:page;z-index:-15796736" id="docshape5" filled="true" fillcolor="#134e5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tabs>
          <w:tab w:pos="4407" w:val="left" w:leader="none"/>
        </w:tabs>
        <w:ind w:left="4109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Bachelor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Arts</w:t>
      </w:r>
      <w:r>
        <w:rPr>
          <w:spacing w:val="11"/>
          <w:w w:val="105"/>
        </w:rPr>
        <w:t> </w:t>
      </w:r>
      <w:r>
        <w:rPr>
          <w:w w:val="105"/>
        </w:rPr>
        <w:t>in</w:t>
      </w:r>
      <w:r>
        <w:rPr>
          <w:spacing w:val="11"/>
          <w:w w:val="105"/>
        </w:rPr>
        <w:t> </w:t>
      </w:r>
      <w:r>
        <w:rPr>
          <w:w w:val="105"/>
        </w:rPr>
        <w:t>Economics</w:t>
      </w:r>
      <w:r>
        <w:rPr>
          <w:spacing w:val="11"/>
          <w:w w:val="105"/>
        </w:rPr>
        <w:t> </w:t>
      </w:r>
      <w:r>
        <w:rPr>
          <w:w w:val="105"/>
        </w:rPr>
        <w:t>|</w:t>
      </w:r>
      <w:r>
        <w:rPr>
          <w:spacing w:val="10"/>
          <w:w w:val="105"/>
        </w:rPr>
        <w:t> </w:t>
      </w:r>
      <w:r>
        <w:rPr>
          <w:w w:val="105"/>
        </w:rPr>
        <w:t>May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after="0"/>
        <w:sectPr>
          <w:type w:val="continuous"/>
          <w:pgSz w:w="11920" w:h="16860"/>
          <w:pgMar w:top="0" w:bottom="0" w:left="0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7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47925" cy="1070483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44792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7925" h="10704830">
                              <a:moveTo>
                                <a:pt x="0" y="10704575"/>
                              </a:moveTo>
                              <a:lnTo>
                                <a:pt x="0" y="0"/>
                              </a:lnTo>
                              <a:lnTo>
                                <a:pt x="2447924" y="0"/>
                              </a:lnTo>
                              <a:lnTo>
                                <a:pt x="2447924" y="10704575"/>
                              </a:lnTo>
                              <a:lnTo>
                                <a:pt x="0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E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192.749983pt;height:842.879997pt;mso-position-horizontal-relative:page;mso-position-vertical-relative:page;z-index:-15795712" id="docshape6" filled="true" fillcolor="#134e5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34"/>
      </w:pPr>
    </w:p>
    <w:p>
      <w:pPr>
        <w:pStyle w:val="BodyText"/>
        <w:ind w:right="582"/>
        <w:jc w:val="center"/>
      </w:pPr>
      <w:r>
        <w:rPr/>
        <w:t>State</w:t>
      </w:r>
      <w:r>
        <w:rPr>
          <w:spacing w:val="28"/>
        </w:rPr>
        <w:t> </w:t>
      </w:r>
      <w:r>
        <w:rPr/>
        <w:t>University,</w:t>
      </w:r>
      <w:r>
        <w:rPr>
          <w:spacing w:val="28"/>
        </w:rPr>
        <w:t> </w:t>
      </w:r>
      <w:r>
        <w:rPr/>
        <w:t>City,</w:t>
      </w:r>
      <w:r>
        <w:rPr>
          <w:spacing w:val="28"/>
        </w:rPr>
        <w:t> </w:t>
      </w:r>
      <w:r>
        <w:rPr>
          <w:spacing w:val="-5"/>
        </w:rPr>
        <w:t>ST</w:t>
      </w:r>
    </w:p>
    <w:sectPr>
      <w:pgSz w:w="11920" w:h="16860"/>
      <w:pgMar w:top="0" w:bottom="0" w:left="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7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91"/>
      <w:ind w:left="297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2026-03-20T14:35:17Z</dcterms:created>
  <dcterms:modified xsi:type="dcterms:W3CDTF">2026-03-20T14:35:17Z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2026-03-20T00:00:00Z</vt:filetime>
  </property>
  <property fmtid="{D5CDD505-2E9C-101B-9397-08002B2CF9AE}" pid="5" name="Producer">
    <vt:lpwstr>pdf-merger-js</vt:lpwstr>
  </property>
</Properties>
</file>