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57"/>
        <w:rPr>
          <w:rFonts w:ascii="Times New Roman"/>
          <w:sz w:val="26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-2222369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5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-174.989761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5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JW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color w:val="FFFFFF"/>
          <w:spacing w:val="-6"/>
          <w:sz w:val="29"/>
        </w:rPr>
        <w:t>C</w:t>
      </w:r>
      <w:r>
        <w:rPr>
          <w:color w:val="FFFFFF"/>
          <w:spacing w:val="-6"/>
        </w:rPr>
        <w:t>ONTACT</w:t>
      </w:r>
    </w:p>
    <w:p>
      <w:pPr>
        <w:spacing w:before="68"/>
        <w:ind w:left="0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Heading1"/>
      </w:pPr>
      <w:r>
        <w:rPr>
          <w:color w:val="FFFFFF"/>
          <w:spacing w:val="14"/>
        </w:rPr>
        <w:t>Supervisory</w:t>
      </w:r>
      <w:r>
        <w:rPr>
          <w:color w:val="FFFFFF"/>
          <w:spacing w:val="3"/>
        </w:rPr>
        <w:t> </w:t>
      </w:r>
      <w:r>
        <w:rPr>
          <w:color w:val="FFFFFF"/>
          <w:spacing w:val="11"/>
        </w:rPr>
        <w:t>Budget</w:t>
      </w:r>
      <w:r>
        <w:rPr>
          <w:color w:val="FFFFFF"/>
          <w:spacing w:val="3"/>
        </w:rPr>
        <w:t> </w:t>
      </w:r>
      <w:r>
        <w:rPr>
          <w:color w:val="FFFFFF"/>
          <w:spacing w:val="9"/>
        </w:rPr>
        <w:t>Analyst</w:t>
      </w:r>
    </w:p>
    <w:p>
      <w:pPr>
        <w:pStyle w:val="BodyText"/>
        <w:spacing w:line="271" w:lineRule="auto" w:before="251"/>
        <w:ind w:left="33" w:right="19" w:hanging="1"/>
        <w:jc w:val="center"/>
      </w:pPr>
      <w:r>
        <w:rPr>
          <w:color w:val="FFFFFF"/>
          <w:w w:val="105"/>
        </w:rPr>
        <w:t>EXPERIENCED FINANCIAL LEADER WITH 15+ YEARS OVERSEEING MULTIMILLION-DOLLAR GOVERNMENT BUDGETS AND MANAGING HIGH-PERFORMING BUDGET TEAMS. LEADS 8 ANALYSTS MANAGING $500+ MILLION IN HUD PROGRAM BUDGETS, REDUCED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AUDIT FINDINGS BY 90% OVER 5 YEARS THROUGH NEW INTERNAL CONTROL PROTOCOLS, AND DESIGNED PERFORMANCE-BASED BUDGETING FRAMEWORKS AT MARYLAND STATE FINANCE OFFICE. M.S. IN FINANCE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 B.A. IN PUBLIC POLICY WITH EXPERTISE IN FEDERAL COMPLIANCE, AUDIT RESPONSE, PERFORMANCE MEASUREMENT, AND DELIVERY OF FISCAL RISK BRIEFINGS TO SENIOR OFFICIALS.</w:t>
      </w:r>
    </w:p>
    <w:p>
      <w:pPr>
        <w:pStyle w:val="BodyText"/>
        <w:spacing w:after="0" w:line="271" w:lineRule="auto"/>
        <w:jc w:val="center"/>
        <w:sectPr>
          <w:type w:val="continuous"/>
          <w:pgSz w:w="11920" w:h="16860"/>
          <w:pgMar w:top="540" w:bottom="280" w:left="283" w:right="425"/>
          <w:cols w:num="2" w:equalWidth="0">
            <w:col w:w="1306" w:space="2973"/>
            <w:col w:w="6933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  <w:spacing w:before="74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420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200525">
                                <a:moveTo>
                                  <a:pt x="47625" y="4173359"/>
                                </a:moveTo>
                                <a:lnTo>
                                  <a:pt x="27165" y="4152900"/>
                                </a:lnTo>
                                <a:lnTo>
                                  <a:pt x="20472" y="4152900"/>
                                </a:lnTo>
                                <a:lnTo>
                                  <a:pt x="0" y="4173359"/>
                                </a:lnTo>
                                <a:lnTo>
                                  <a:pt x="0" y="4176941"/>
                                </a:lnTo>
                                <a:lnTo>
                                  <a:pt x="0" y="4180065"/>
                                </a:lnTo>
                                <a:lnTo>
                                  <a:pt x="20472" y="4200525"/>
                                </a:lnTo>
                                <a:lnTo>
                                  <a:pt x="27165" y="4200525"/>
                                </a:lnTo>
                                <a:lnTo>
                                  <a:pt x="47625" y="4180065"/>
                                </a:lnTo>
                                <a:lnTo>
                                  <a:pt x="47625" y="4173359"/>
                                </a:lnTo>
                                <a:close/>
                              </a:path>
                              <a:path w="47625" h="4200525">
                                <a:moveTo>
                                  <a:pt x="47625" y="3497097"/>
                                </a:moveTo>
                                <a:lnTo>
                                  <a:pt x="27165" y="3476625"/>
                                </a:lnTo>
                                <a:lnTo>
                                  <a:pt x="20472" y="3476625"/>
                                </a:lnTo>
                                <a:lnTo>
                                  <a:pt x="0" y="3497097"/>
                                </a:lnTo>
                                <a:lnTo>
                                  <a:pt x="0" y="3500666"/>
                                </a:lnTo>
                                <a:lnTo>
                                  <a:pt x="0" y="3503790"/>
                                </a:lnTo>
                                <a:lnTo>
                                  <a:pt x="20472" y="3524250"/>
                                </a:lnTo>
                                <a:lnTo>
                                  <a:pt x="27165" y="3524250"/>
                                </a:lnTo>
                                <a:lnTo>
                                  <a:pt x="47625" y="3503790"/>
                                </a:lnTo>
                                <a:lnTo>
                                  <a:pt x="47625" y="3497097"/>
                                </a:lnTo>
                                <a:close/>
                              </a:path>
                              <a:path w="47625" h="4200525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47625" h="4200525">
                                <a:moveTo>
                                  <a:pt x="47625" y="2354097"/>
                                </a:moveTo>
                                <a:lnTo>
                                  <a:pt x="27165" y="2333625"/>
                                </a:lnTo>
                                <a:lnTo>
                                  <a:pt x="20472" y="2333625"/>
                                </a:lnTo>
                                <a:lnTo>
                                  <a:pt x="0" y="2354097"/>
                                </a:lnTo>
                                <a:lnTo>
                                  <a:pt x="0" y="2357666"/>
                                </a:lnTo>
                                <a:lnTo>
                                  <a:pt x="0" y="2360790"/>
                                </a:lnTo>
                                <a:lnTo>
                                  <a:pt x="20472" y="2381250"/>
                                </a:lnTo>
                                <a:lnTo>
                                  <a:pt x="27165" y="2381250"/>
                                </a:lnTo>
                                <a:lnTo>
                                  <a:pt x="47625" y="2360790"/>
                                </a:lnTo>
                                <a:lnTo>
                                  <a:pt x="47625" y="2354097"/>
                                </a:lnTo>
                                <a:close/>
                              </a:path>
                              <a:path w="47625" h="4200525">
                                <a:moveTo>
                                  <a:pt x="47625" y="2150135"/>
                                </a:moveTo>
                                <a:lnTo>
                                  <a:pt x="31102" y="2133600"/>
                                </a:lnTo>
                                <a:lnTo>
                                  <a:pt x="16535" y="2133600"/>
                                </a:lnTo>
                                <a:lnTo>
                                  <a:pt x="0" y="2150135"/>
                                </a:lnTo>
                                <a:lnTo>
                                  <a:pt x="0" y="2152650"/>
                                </a:lnTo>
                                <a:lnTo>
                                  <a:pt x="0" y="2155177"/>
                                </a:lnTo>
                                <a:lnTo>
                                  <a:pt x="16535" y="2171700"/>
                                </a:lnTo>
                                <a:lnTo>
                                  <a:pt x="31102" y="2171700"/>
                                </a:lnTo>
                                <a:lnTo>
                                  <a:pt x="47625" y="2155177"/>
                                </a:lnTo>
                                <a:lnTo>
                                  <a:pt x="47625" y="2150135"/>
                                </a:lnTo>
                                <a:close/>
                              </a:path>
                              <a:path w="47625" h="420052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420052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420052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42005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42005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4200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315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3152775">
                                <a:moveTo>
                                  <a:pt x="4844033" y="3152774"/>
                                </a:moveTo>
                                <a:lnTo>
                                  <a:pt x="0" y="3152774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315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85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4171949"/>
                            <a:ext cx="47625" cy="488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886325">
                                <a:moveTo>
                                  <a:pt x="47625" y="4859159"/>
                                </a:moveTo>
                                <a:lnTo>
                                  <a:pt x="27165" y="4838700"/>
                                </a:lnTo>
                                <a:lnTo>
                                  <a:pt x="20472" y="4838700"/>
                                </a:lnTo>
                                <a:lnTo>
                                  <a:pt x="0" y="4859159"/>
                                </a:lnTo>
                                <a:lnTo>
                                  <a:pt x="0" y="4862741"/>
                                </a:lnTo>
                                <a:lnTo>
                                  <a:pt x="0" y="4865865"/>
                                </a:lnTo>
                                <a:lnTo>
                                  <a:pt x="20472" y="4886325"/>
                                </a:lnTo>
                                <a:lnTo>
                                  <a:pt x="27165" y="4886325"/>
                                </a:lnTo>
                                <a:lnTo>
                                  <a:pt x="47625" y="4865865"/>
                                </a:lnTo>
                                <a:lnTo>
                                  <a:pt x="47625" y="4859159"/>
                                </a:lnTo>
                                <a:close/>
                              </a:path>
                              <a:path w="47625" h="4886325">
                                <a:moveTo>
                                  <a:pt x="47625" y="4354334"/>
                                </a:moveTo>
                                <a:lnTo>
                                  <a:pt x="27165" y="4333875"/>
                                </a:lnTo>
                                <a:lnTo>
                                  <a:pt x="20472" y="4333875"/>
                                </a:lnTo>
                                <a:lnTo>
                                  <a:pt x="0" y="4354334"/>
                                </a:lnTo>
                                <a:lnTo>
                                  <a:pt x="0" y="4357916"/>
                                </a:lnTo>
                                <a:lnTo>
                                  <a:pt x="0" y="4361040"/>
                                </a:lnTo>
                                <a:lnTo>
                                  <a:pt x="20472" y="4381500"/>
                                </a:lnTo>
                                <a:lnTo>
                                  <a:pt x="27165" y="4381500"/>
                                </a:lnTo>
                                <a:lnTo>
                                  <a:pt x="47625" y="4361040"/>
                                </a:lnTo>
                                <a:lnTo>
                                  <a:pt x="47625" y="4354334"/>
                                </a:lnTo>
                                <a:close/>
                              </a:path>
                              <a:path w="47625" h="488632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47625" h="4886325">
                                <a:moveTo>
                                  <a:pt x="47625" y="2687472"/>
                                </a:moveTo>
                                <a:lnTo>
                                  <a:pt x="27165" y="2667000"/>
                                </a:lnTo>
                                <a:lnTo>
                                  <a:pt x="20472" y="2667000"/>
                                </a:lnTo>
                                <a:lnTo>
                                  <a:pt x="0" y="2687472"/>
                                </a:lnTo>
                                <a:lnTo>
                                  <a:pt x="0" y="2691041"/>
                                </a:lnTo>
                                <a:lnTo>
                                  <a:pt x="0" y="2694165"/>
                                </a:lnTo>
                                <a:lnTo>
                                  <a:pt x="20472" y="2714625"/>
                                </a:lnTo>
                                <a:lnTo>
                                  <a:pt x="27165" y="2714625"/>
                                </a:lnTo>
                                <a:lnTo>
                                  <a:pt x="47625" y="2694165"/>
                                </a:lnTo>
                                <a:lnTo>
                                  <a:pt x="47625" y="2687472"/>
                                </a:lnTo>
                                <a:close/>
                              </a:path>
                              <a:path w="47625" h="4886325">
                                <a:moveTo>
                                  <a:pt x="47625" y="2182647"/>
                                </a:moveTo>
                                <a:lnTo>
                                  <a:pt x="27165" y="2162175"/>
                                </a:lnTo>
                                <a:lnTo>
                                  <a:pt x="20472" y="2162175"/>
                                </a:lnTo>
                                <a:lnTo>
                                  <a:pt x="0" y="2182647"/>
                                </a:lnTo>
                                <a:lnTo>
                                  <a:pt x="0" y="2186216"/>
                                </a:lnTo>
                                <a:lnTo>
                                  <a:pt x="0" y="2189340"/>
                                </a:lnTo>
                                <a:lnTo>
                                  <a:pt x="20472" y="2209800"/>
                                </a:lnTo>
                                <a:lnTo>
                                  <a:pt x="27165" y="2209800"/>
                                </a:lnTo>
                                <a:lnTo>
                                  <a:pt x="47625" y="2189340"/>
                                </a:lnTo>
                                <a:lnTo>
                                  <a:pt x="47625" y="2182647"/>
                                </a:lnTo>
                                <a:close/>
                              </a:path>
                              <a:path w="47625" h="48863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488632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488632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4886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0864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6615" id="docshape8" coordorigin="555,7380" coordsize="75,6615" path="m630,13952l629,13947,625,13938,623,13934,616,13927,612,13925,603,13921,598,13920,587,13920,582,13921,573,13925,569,13927,562,13934,560,13938,556,13947,555,13952,555,13958,555,13963,556,13968,560,13977,562,13981,569,13988,573,13990,582,13994,587,13995,598,13995,603,13994,612,13990,616,13988,623,13981,625,13977,629,13968,630,13963,630,13952xm630,12887l629,12882,625,12873,623,12869,616,12862,612,12860,603,12856,598,12855,587,12855,582,12856,573,12860,569,12862,562,12869,560,12873,556,12882,555,12887,555,12893,555,12898,556,12903,560,12912,562,12916,569,12923,573,12925,582,12929,587,12930,598,12930,603,12929,612,12925,616,12923,623,12916,625,12912,629,12903,630,12898,630,12887xm630,11657l629,11652,625,11643,623,11639,616,11632,612,11630,603,11626,598,11625,587,11625,582,11626,573,11630,569,11632,562,11639,560,11643,556,11652,555,11657,555,11663,555,11668,556,11673,560,11682,562,11686,569,11693,573,11695,582,11699,587,11700,598,11700,603,11699,612,11695,616,11693,623,11686,625,11682,629,11673,630,11668,630,11657xm630,11087l629,11082,625,11073,623,11069,616,11062,612,11060,603,11056,598,11055,587,11055,582,11056,573,11060,569,11062,562,11069,560,11073,556,11082,555,11087,555,11093,555,11098,556,11103,560,11112,562,11116,569,11123,573,11125,582,11129,587,11130,598,11130,603,11129,612,11125,616,11123,623,11116,625,11112,629,11103,630,11098,630,11087xm630,10766l629,10762,626,10755,624,10752,618,10746,615,10744,608,10741,604,10740,581,10740,577,10741,570,10744,567,10746,561,10752,559,10755,556,10762,555,10766,555,10770,555,10774,556,10778,559,10785,561,10788,567,10794,570,10796,577,10799,581,10800,604,10800,608,10799,615,10796,618,10794,624,10788,626,10785,629,10778,630,10774,630,10766xm630,10202l629,10197,625,10188,623,10184,616,10177,612,10175,603,10171,598,10170,587,10170,582,10171,573,10175,569,10177,562,10184,560,10188,556,10197,555,10202,555,10208,555,10213,556,10218,560,10227,562,10231,569,10238,573,10240,582,10244,587,10245,598,10245,603,10244,612,10240,616,10238,623,10231,625,10227,629,10218,630,10213,630,10202xm630,9647l629,9642,625,9633,623,9629,616,9622,612,9620,603,9616,598,9615,587,9615,582,9616,573,9620,569,9622,562,9629,560,9633,556,9642,555,9647,555,9653,555,9658,556,9663,560,9672,562,9676,569,9683,573,9685,582,9689,587,9690,598,9690,603,9689,612,9685,616,9683,623,9676,625,9672,629,9663,630,9658,630,9647xm630,9092l629,9087,625,9078,623,9074,616,9067,612,9065,603,9061,598,9060,587,9060,582,9061,573,9065,569,9067,562,9074,560,9078,556,9087,555,9092,555,9098,555,9103,556,9108,560,9117,562,9121,569,9128,573,9130,582,9134,587,9135,598,9135,603,9134,612,9130,616,9128,623,9121,625,9117,629,9108,630,9103,630,9092xm630,8522l629,8517,625,8508,623,8504,616,8497,612,8495,603,8491,598,8490,587,8490,582,8491,573,8495,569,8497,562,8504,560,8508,556,8517,555,8522,555,8528,555,8533,556,8538,560,8547,562,8551,569,8558,573,8560,582,8564,587,8565,598,8565,603,8564,612,8560,616,8558,623,8551,625,8547,629,8538,630,8533,630,8522xm630,7967l629,7962,625,7953,623,7949,616,7942,612,7940,603,7936,598,7935,587,7935,582,7936,573,7940,569,7942,562,7949,560,7953,556,7962,555,7967,555,7973,555,7978,556,7983,560,7992,562,7996,569,8003,573,8005,582,8009,587,8010,598,8010,603,8009,612,8005,616,8003,623,7996,625,7992,629,7983,630,7978,630,796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4965" id="docshape9" filled="true" fillcolor="#ae8509" stroked="false">
                  <v:fill type="solid"/>
                </v:rect>
                <v:shape style="position:absolute;left:4799;top:6570;width:75;height:7695" id="docshape10" coordorigin="4800,6570" coordsize="75,7695" path="m4875,14222l4874,14217,4870,14208,4868,14204,4861,14197,4857,14195,4848,14191,4843,14190,4832,14190,4827,14191,4818,14195,4814,14197,4807,14204,4805,14208,4801,14217,4800,14222,4800,14228,4800,14233,4801,14238,4805,14247,4807,14251,4814,14258,4818,14260,4827,14264,4832,14265,4843,14265,4848,14264,4857,14260,4861,14258,4868,14251,4870,14247,4874,14238,4875,14233,4875,14222xm4875,13427l4874,13422,4870,13413,4868,13409,4861,13402,4857,13400,4848,13396,4843,13395,4832,13395,4827,13396,4818,13400,4814,13402,4807,13409,4805,13413,4801,13422,4800,13427,4800,13433,4800,13438,4801,13443,4805,13452,4807,13456,4814,13463,4818,13465,4827,13469,4832,13470,4843,13470,4848,13469,4857,13465,4861,13463,4868,13456,4870,13452,4874,13443,4875,13438,4875,13427xm4875,12632l4874,12627,4870,12618,4868,12614,4861,12607,4857,12605,4848,12601,4843,12600,4832,12600,4827,12601,4818,12605,4814,12607,4807,12614,4805,12618,4801,12627,4800,12632,4800,12638,4800,12643,4801,12648,4805,12657,4807,12661,4814,12668,4818,12670,4827,12674,4832,12675,4843,12675,4848,12674,4857,12670,4861,12668,4868,12661,4870,12657,4874,12648,4875,12643,4875,12632xm4875,10802l4874,10797,4870,10788,4868,10784,4861,10777,4857,10775,4848,10771,4843,10770,4832,10770,4827,10771,4818,10775,4814,10777,4807,10784,4805,10788,4801,10797,4800,10802,4800,10808,4800,10813,4801,10818,4805,10827,4807,10831,4814,10838,4818,10840,4827,10844,4832,10845,4843,10845,4848,10844,4857,10840,4861,10838,4868,10831,4870,10827,4874,10818,4875,10813,4875,10802xm4875,10007l4874,10002,4870,9993,4868,9989,4861,9982,4857,9980,4848,9976,4843,9975,4832,9975,4827,9976,4818,9980,4814,9982,4807,9989,4805,9993,4801,10002,4800,10007,4800,10013,4800,10018,4801,10023,4805,10032,4807,10036,4814,10043,4818,10045,4827,10049,4832,10050,4843,10050,4848,10049,4857,10045,4861,10043,4868,10036,4870,10032,4874,10023,4875,10018,4875,10007xm4875,9212l4874,9207,4870,9198,4868,9194,4861,9187,4857,9185,4848,9181,4843,9180,4832,9180,4827,9181,4818,9185,4814,9187,4807,9194,4805,9198,4801,9207,4800,9212,4800,9218,4800,9223,4801,9228,4805,9237,4807,9241,4814,9248,4818,9250,4827,9254,4832,9255,4843,9255,4848,9254,4857,9250,4861,9248,4868,9241,4870,9237,4874,9228,4875,9223,4875,9212xm4875,8417l4874,8412,4870,8403,4868,8399,4861,8392,4857,8390,4848,8386,4843,8385,4832,8385,4827,8386,4818,8390,4814,8392,4807,8399,4805,8403,4801,8412,4800,8417,4800,8423,4800,8428,4801,8433,4805,8442,4807,8446,4814,8453,4818,8455,4827,8459,4832,8460,4843,8460,4848,8459,4857,8455,4861,8453,4868,8446,4870,8442,4874,8433,4875,8428,4875,8417xm4875,7622l4874,7617,4870,7608,4868,7604,4861,7597,4857,7595,4848,7591,4843,7590,4832,7590,4827,7591,4818,7595,4814,7597,4807,7604,4805,7608,4801,7617,4800,7622,4800,7628,4800,7633,4801,7638,4805,7647,4807,7651,4814,7658,4818,7660,4827,7664,4832,7665,4843,7665,4848,7664,4857,7660,4861,7658,4868,7651,4870,7647,4874,7638,4875,7633,4875,7622xm4875,6602l4874,6597,4870,6588,4868,6584,4861,6577,4857,6575,4848,6571,4843,6570,4832,6570,4827,6571,4818,6575,4814,6577,4807,6584,4805,6588,4801,6597,4800,6602,4800,6608,4800,6613,4801,6618,4805,6627,4807,6631,4814,6638,4818,6640,4827,6644,4832,6645,4843,6645,4848,6644,4857,6640,4861,6638,4868,6631,4870,6627,4874,6618,4875,6613,4875,66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 w:right="627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758"/>
      </w:pPr>
      <w:r>
        <w:rPr>
          <w:color w:val="FFFFFF"/>
          <w:spacing w:val="-2"/>
          <w:w w:val="105"/>
        </w:rPr>
        <w:t>Baltimore,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MD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4"/>
          <w:w w:val="105"/>
        </w:rPr>
        <w:t>21201</w:t>
      </w:r>
    </w:p>
    <w:p>
      <w:pPr>
        <w:pStyle w:val="BodyText"/>
        <w:spacing w:before="128"/>
      </w:pPr>
    </w:p>
    <w:p>
      <w:pPr>
        <w:pStyle w:val="Heading2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261" w:lineRule="auto" w:before="1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Budget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oversight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federal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fund management</w:t>
      </w:r>
    </w:p>
    <w:p>
      <w:pPr>
        <w:spacing w:line="278" w:lineRule="auto" w:before="10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Compliance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strategy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internal controls</w:t>
      </w:r>
    </w:p>
    <w:p>
      <w:pPr>
        <w:spacing w:line="278" w:lineRule="auto" w:before="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Performance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measurement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KPI reporting</w:t>
      </w:r>
    </w:p>
    <w:p>
      <w:pPr>
        <w:spacing w:line="261" w:lineRule="auto"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Staff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training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professional development</w:t>
      </w:r>
    </w:p>
    <w:p>
      <w:pPr>
        <w:spacing w:line="261" w:lineRule="auto"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Federal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audit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preparation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response</w:t>
      </w:r>
    </w:p>
    <w:p>
      <w:pPr>
        <w:spacing w:line="278" w:lineRule="auto"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Performance-based budgeting </w:t>
      </w:r>
      <w:r>
        <w:rPr>
          <w:b/>
          <w:color w:val="FFFFFF"/>
          <w:w w:val="105"/>
          <w:sz w:val="18"/>
        </w:rPr>
        <w:t>framework design</w:t>
      </w:r>
    </w:p>
    <w:p>
      <w:pPr>
        <w:spacing w:before="8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Budget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z w:val="18"/>
        </w:rPr>
        <w:t>policy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z w:val="18"/>
        </w:rPr>
        <w:t>manual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pacing w:val="-2"/>
          <w:sz w:val="18"/>
        </w:rPr>
        <w:t>authorship</w:t>
      </w:r>
    </w:p>
    <w:p>
      <w:pPr>
        <w:spacing w:line="278" w:lineRule="auto" w:before="108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Year-end closeout and </w:t>
      </w:r>
      <w:r>
        <w:rPr>
          <w:b/>
          <w:color w:val="FFFFFF"/>
          <w:sz w:val="18"/>
        </w:rPr>
        <w:t>interdepartmental</w:t>
      </w:r>
      <w:r>
        <w:rPr>
          <w:b/>
          <w:color w:val="FFFFFF"/>
          <w:spacing w:val="30"/>
          <w:sz w:val="18"/>
        </w:rPr>
        <w:t> </w:t>
      </w:r>
      <w:r>
        <w:rPr>
          <w:b/>
          <w:color w:val="FFFFFF"/>
          <w:spacing w:val="-2"/>
          <w:sz w:val="18"/>
        </w:rPr>
        <w:t>coordination</w:t>
      </w:r>
    </w:p>
    <w:p>
      <w:pPr>
        <w:spacing w:line="261" w:lineRule="auto"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Risk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brieﬁng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senior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ofﬁcial reporting</w:t>
      </w:r>
    </w:p>
    <w:p>
      <w:pPr>
        <w:pStyle w:val="BodyText"/>
        <w:spacing w:before="79"/>
        <w:rPr>
          <w:b/>
        </w:rPr>
      </w:pPr>
    </w:p>
    <w:p>
      <w:pPr>
        <w:pStyle w:val="Heading2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(M.S.)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FINANCE | JOHNS HOPKINS </w:t>
      </w:r>
      <w:r>
        <w:rPr>
          <w:b/>
          <w:color w:val="FFFFFF"/>
          <w:spacing w:val="-4"/>
          <w:w w:val="105"/>
          <w:sz w:val="18"/>
        </w:rPr>
        <w:t>UNIVERSITY,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BALTIMORE,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MD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MAY 2011</w:t>
      </w:r>
    </w:p>
    <w:p>
      <w:pPr>
        <w:spacing w:line="273" w:lineRule="auto" w:before="13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ARTS (B.A.) IN PUBLIC POLICY | UNIVERSITY OF </w:t>
      </w:r>
      <w:r>
        <w:rPr>
          <w:b/>
          <w:color w:val="FFFFFF"/>
          <w:spacing w:val="-2"/>
          <w:w w:val="105"/>
          <w:sz w:val="18"/>
        </w:rPr>
        <w:t>MARYLAND,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COLLEGE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PARK,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MAY 2009</w:t>
      </w:r>
    </w:p>
    <w:p>
      <w:pPr>
        <w:pStyle w:val="BodyText"/>
        <w:spacing w:before="212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pStyle w:val="Heading2"/>
      </w:pPr>
      <w:r>
        <w:rPr>
          <w:color w:val="0C0C0C"/>
          <w:spacing w:val="-5"/>
          <w:sz w:val="29"/>
        </w:rPr>
        <w:t>P</w:t>
      </w:r>
      <w:r>
        <w:rPr>
          <w:color w:val="0C0C0C"/>
          <w:spacing w:val="-5"/>
        </w:rPr>
        <w:t>ROFESSIONAL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78" w:lineRule="auto" w:before="145"/>
        <w:ind w:left="33"/>
      </w:pPr>
      <w:r>
        <w:rPr/>
        <w:t>SUPERVISORY BUDGET ANALYST | U.S. DEPARTMENT OF HOUSING AND </w:t>
      </w:r>
      <w:r>
        <w:rPr>
          <w:w w:val="105"/>
        </w:rPr>
        <w:t>URBAN</w:t>
      </w:r>
      <w:r>
        <w:rPr>
          <w:spacing w:val="-3"/>
          <w:w w:val="105"/>
        </w:rPr>
        <w:t> </w:t>
      </w:r>
      <w:r>
        <w:rPr>
          <w:w w:val="105"/>
        </w:rPr>
        <w:t>DEVELOPMENT,</w:t>
      </w:r>
      <w:r>
        <w:rPr>
          <w:spacing w:val="-3"/>
          <w:w w:val="105"/>
        </w:rPr>
        <w:t> </w:t>
      </w:r>
      <w:r>
        <w:rPr>
          <w:w w:val="105"/>
        </w:rPr>
        <w:t>BALTIMORE,</w:t>
      </w:r>
      <w:r>
        <w:rPr>
          <w:spacing w:val="-3"/>
          <w:w w:val="105"/>
        </w:rPr>
        <w:t> </w:t>
      </w:r>
      <w:r>
        <w:rPr>
          <w:w w:val="105"/>
        </w:rPr>
        <w:t>MD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2017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66" w:lineRule="auto"/>
        <w:ind w:left="609" w:right="199"/>
      </w:pPr>
      <w:r>
        <w:rPr>
          <w:w w:val="105"/>
        </w:rPr>
        <w:t>Lead</w:t>
      </w:r>
      <w:r>
        <w:rPr>
          <w:spacing w:val="-5"/>
          <w:w w:val="105"/>
        </w:rPr>
        <w:t> </w:t>
      </w:r>
      <w:r>
        <w:rPr>
          <w:w w:val="105"/>
        </w:rPr>
        <w:t>team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8</w:t>
      </w:r>
      <w:r>
        <w:rPr>
          <w:spacing w:val="-5"/>
          <w:w w:val="105"/>
        </w:rPr>
        <w:t> </w:t>
      </w:r>
      <w:r>
        <w:rPr>
          <w:w w:val="105"/>
        </w:rPr>
        <w:t>budget</w:t>
      </w:r>
      <w:r>
        <w:rPr>
          <w:spacing w:val="-5"/>
          <w:w w:val="105"/>
        </w:rPr>
        <w:t> </w:t>
      </w:r>
      <w:r>
        <w:rPr>
          <w:w w:val="105"/>
        </w:rPr>
        <w:t>analysts</w:t>
      </w:r>
      <w:r>
        <w:rPr>
          <w:spacing w:val="-5"/>
          <w:w w:val="105"/>
        </w:rPr>
        <w:t> </w:t>
      </w:r>
      <w:r>
        <w:rPr>
          <w:w w:val="105"/>
        </w:rPr>
        <w:t>managing</w:t>
      </w:r>
      <w:r>
        <w:rPr>
          <w:spacing w:val="-5"/>
          <w:w w:val="105"/>
        </w:rPr>
        <w:t> </w:t>
      </w:r>
      <w:r>
        <w:rPr>
          <w:w w:val="105"/>
        </w:rPr>
        <w:t>$500+</w:t>
      </w:r>
      <w:r>
        <w:rPr>
          <w:spacing w:val="-5"/>
          <w:w w:val="105"/>
        </w:rPr>
        <w:t> </w:t>
      </w:r>
      <w:r>
        <w:rPr>
          <w:w w:val="105"/>
        </w:rPr>
        <w:t>million</w:t>
      </w:r>
      <w:r>
        <w:rPr>
          <w:spacing w:val="-5"/>
          <w:w w:val="105"/>
        </w:rPr>
        <w:t> </w:t>
      </w:r>
      <w:r>
        <w:rPr>
          <w:w w:val="105"/>
        </w:rPr>
        <w:t>across</w:t>
      </w:r>
      <w:r>
        <w:rPr>
          <w:spacing w:val="-5"/>
          <w:w w:val="105"/>
        </w:rPr>
        <w:t> </w:t>
      </w:r>
      <w:r>
        <w:rPr>
          <w:w w:val="105"/>
        </w:rPr>
        <w:t>HUD housing assistance and community development program budgets, ensuring execution accuracy and compliance with federal ﬁnancial </w:t>
      </w:r>
      <w:r>
        <w:rPr>
          <w:spacing w:val="-2"/>
          <w:w w:val="105"/>
        </w:rPr>
        <w:t>regulations</w:t>
      </w:r>
    </w:p>
    <w:p>
      <w:pPr>
        <w:pStyle w:val="BodyText"/>
        <w:spacing w:line="268" w:lineRule="auto" w:before="101"/>
        <w:ind w:left="609" w:right="199"/>
      </w:pPr>
      <w:r>
        <w:rPr>
          <w:w w:val="105"/>
        </w:rPr>
        <w:t>Reduced audit ﬁndings by 90% over 5 years by designing and implementing</w:t>
      </w:r>
      <w:r>
        <w:rPr>
          <w:spacing w:val="-8"/>
          <w:w w:val="105"/>
        </w:rPr>
        <w:t> </w:t>
      </w:r>
      <w:r>
        <w:rPr>
          <w:w w:val="105"/>
        </w:rPr>
        <w:t>new</w:t>
      </w:r>
      <w:r>
        <w:rPr>
          <w:spacing w:val="-8"/>
          <w:w w:val="105"/>
        </w:rPr>
        <w:t> </w:t>
      </w:r>
      <w:r>
        <w:rPr>
          <w:w w:val="105"/>
        </w:rPr>
        <w:t>internal</w:t>
      </w:r>
      <w:r>
        <w:rPr>
          <w:spacing w:val="-8"/>
          <w:w w:val="105"/>
        </w:rPr>
        <w:t> </w:t>
      </w:r>
      <w:r>
        <w:rPr>
          <w:w w:val="105"/>
        </w:rPr>
        <w:t>control</w:t>
      </w:r>
      <w:r>
        <w:rPr>
          <w:spacing w:val="-8"/>
          <w:w w:val="105"/>
        </w:rPr>
        <w:t> </w:t>
      </w:r>
      <w:r>
        <w:rPr>
          <w:w w:val="105"/>
        </w:rPr>
        <w:t>protocols,</w:t>
      </w:r>
      <w:r>
        <w:rPr>
          <w:spacing w:val="-8"/>
          <w:w w:val="105"/>
        </w:rPr>
        <w:t> </w:t>
      </w:r>
      <w:r>
        <w:rPr>
          <w:w w:val="105"/>
        </w:rPr>
        <w:t>including</w:t>
      </w:r>
      <w:r>
        <w:rPr>
          <w:spacing w:val="-8"/>
          <w:w w:val="105"/>
        </w:rPr>
        <w:t> </w:t>
      </w:r>
      <w:r>
        <w:rPr>
          <w:w w:val="105"/>
        </w:rPr>
        <w:t>monthly</w:t>
      </w:r>
      <w:r>
        <w:rPr>
          <w:spacing w:val="-8"/>
          <w:w w:val="105"/>
        </w:rPr>
        <w:t> </w:t>
      </w:r>
      <w:r>
        <w:rPr>
          <w:w w:val="105"/>
        </w:rPr>
        <w:t>transaction reviews, documentation checklists, and audit trail procedures</w:t>
      </w:r>
    </w:p>
    <w:p>
      <w:pPr>
        <w:pStyle w:val="BodyText"/>
        <w:spacing w:line="268" w:lineRule="auto" w:before="100"/>
        <w:ind w:left="609" w:right="199"/>
      </w:pPr>
      <w:r>
        <w:rPr>
          <w:w w:val="105"/>
        </w:rPr>
        <w:t>Deliver</w:t>
      </w:r>
      <w:r>
        <w:rPr>
          <w:spacing w:val="-6"/>
          <w:w w:val="105"/>
        </w:rPr>
        <w:t> </w:t>
      </w:r>
      <w:r>
        <w:rPr>
          <w:w w:val="105"/>
        </w:rPr>
        <w:t>monthly</w:t>
      </w:r>
      <w:r>
        <w:rPr>
          <w:spacing w:val="-6"/>
          <w:w w:val="105"/>
        </w:rPr>
        <w:t> </w:t>
      </w:r>
      <w:r>
        <w:rPr>
          <w:w w:val="105"/>
        </w:rPr>
        <w:t>ﬁscal</w:t>
      </w:r>
      <w:r>
        <w:rPr>
          <w:spacing w:val="-6"/>
          <w:w w:val="105"/>
        </w:rPr>
        <w:t> </w:t>
      </w:r>
      <w:r>
        <w:rPr>
          <w:w w:val="105"/>
        </w:rPr>
        <w:t>trend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risk</w:t>
      </w:r>
      <w:r>
        <w:rPr>
          <w:spacing w:val="-6"/>
          <w:w w:val="105"/>
        </w:rPr>
        <w:t> </w:t>
      </w:r>
      <w:r>
        <w:rPr>
          <w:w w:val="105"/>
        </w:rPr>
        <w:t>brieﬁngs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senior</w:t>
      </w:r>
      <w:r>
        <w:rPr>
          <w:spacing w:val="-6"/>
          <w:w w:val="105"/>
        </w:rPr>
        <w:t> </w:t>
      </w:r>
      <w:r>
        <w:rPr>
          <w:w w:val="105"/>
        </w:rPr>
        <w:t>ofﬁcials,</w:t>
      </w:r>
      <w:r>
        <w:rPr>
          <w:spacing w:val="-6"/>
          <w:w w:val="105"/>
        </w:rPr>
        <w:t> </w:t>
      </w:r>
      <w:r>
        <w:rPr>
          <w:w w:val="105"/>
        </w:rPr>
        <w:t>including the Deputy Assistant Secretary, synthesizing execution data across all program accounts into actionable insights</w:t>
      </w:r>
    </w:p>
    <w:p>
      <w:pPr>
        <w:pStyle w:val="BodyText"/>
        <w:spacing w:line="268" w:lineRule="auto" w:before="100"/>
        <w:ind w:left="609" w:right="251"/>
      </w:pPr>
      <w:r>
        <w:rPr>
          <w:w w:val="105"/>
        </w:rPr>
        <w:t>Set performance standards and conduct annual evaluations for 8 analysts,</w:t>
      </w:r>
      <w:r>
        <w:rPr>
          <w:spacing w:val="-6"/>
          <w:w w:val="105"/>
        </w:rPr>
        <w:t> </w:t>
      </w:r>
      <w:r>
        <w:rPr>
          <w:w w:val="105"/>
        </w:rPr>
        <w:t>supporting</w:t>
      </w:r>
      <w:r>
        <w:rPr>
          <w:spacing w:val="-6"/>
          <w:w w:val="105"/>
        </w:rPr>
        <w:t> </w:t>
      </w:r>
      <w:r>
        <w:rPr>
          <w:w w:val="105"/>
        </w:rPr>
        <w:t>professional</w:t>
      </w:r>
      <w:r>
        <w:rPr>
          <w:spacing w:val="-6"/>
          <w:w w:val="105"/>
        </w:rPr>
        <w:t> </w:t>
      </w:r>
      <w:r>
        <w:rPr>
          <w:w w:val="105"/>
        </w:rPr>
        <w:t>development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reducing</w:t>
      </w:r>
      <w:r>
        <w:rPr>
          <w:spacing w:val="-6"/>
          <w:w w:val="105"/>
        </w:rPr>
        <w:t> </w:t>
      </w:r>
      <w:r>
        <w:rPr>
          <w:w w:val="105"/>
        </w:rPr>
        <w:t>analyst turnover by maintaining a structured mentorship program</w:t>
      </w:r>
    </w:p>
    <w:p>
      <w:pPr>
        <w:pStyle w:val="BodyText"/>
        <w:spacing w:line="268" w:lineRule="auto" w:before="99"/>
        <w:ind w:left="609" w:right="521"/>
        <w:jc w:val="both"/>
      </w:pPr>
      <w:r>
        <w:rPr>
          <w:w w:val="105"/>
        </w:rPr>
        <w:t>Coordinate</w:t>
      </w:r>
      <w:r>
        <w:rPr>
          <w:spacing w:val="-8"/>
          <w:w w:val="105"/>
        </w:rPr>
        <w:t> </w:t>
      </w:r>
      <w:r>
        <w:rPr>
          <w:w w:val="105"/>
        </w:rPr>
        <w:t>annual</w:t>
      </w:r>
      <w:r>
        <w:rPr>
          <w:spacing w:val="-8"/>
          <w:w w:val="105"/>
        </w:rPr>
        <w:t> </w:t>
      </w:r>
      <w:r>
        <w:rPr>
          <w:w w:val="105"/>
        </w:rPr>
        <w:t>budget</w:t>
      </w:r>
      <w:r>
        <w:rPr>
          <w:spacing w:val="-8"/>
          <w:w w:val="105"/>
        </w:rPr>
        <w:t> </w:t>
      </w:r>
      <w:r>
        <w:rPr>
          <w:w w:val="105"/>
        </w:rPr>
        <w:t>formulation</w:t>
      </w:r>
      <w:r>
        <w:rPr>
          <w:spacing w:val="-8"/>
          <w:w w:val="105"/>
        </w:rPr>
        <w:t> </w:t>
      </w:r>
      <w:r>
        <w:rPr>
          <w:w w:val="105"/>
        </w:rPr>
        <w:t>submissions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HUD</w:t>
      </w:r>
      <w:r>
        <w:rPr>
          <w:spacing w:val="-8"/>
          <w:w w:val="105"/>
        </w:rPr>
        <w:t> </w:t>
      </w:r>
      <w:r>
        <w:rPr>
          <w:w w:val="105"/>
        </w:rPr>
        <w:t>programs, reviewing</w:t>
      </w:r>
      <w:r>
        <w:rPr>
          <w:spacing w:val="-5"/>
          <w:w w:val="105"/>
        </w:rPr>
        <w:t> </w:t>
      </w:r>
      <w:r>
        <w:rPr>
          <w:w w:val="105"/>
        </w:rPr>
        <w:t>all</w:t>
      </w:r>
      <w:r>
        <w:rPr>
          <w:spacing w:val="-5"/>
          <w:w w:val="105"/>
        </w:rPr>
        <w:t> </w:t>
      </w:r>
      <w:r>
        <w:rPr>
          <w:w w:val="105"/>
        </w:rPr>
        <w:t>justiﬁcation</w:t>
      </w:r>
      <w:r>
        <w:rPr>
          <w:spacing w:val="-5"/>
          <w:w w:val="105"/>
        </w:rPr>
        <w:t> </w:t>
      </w:r>
      <w:r>
        <w:rPr>
          <w:w w:val="105"/>
        </w:rPr>
        <w:t>narratives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performance</w:t>
      </w:r>
      <w:r>
        <w:rPr>
          <w:spacing w:val="-5"/>
          <w:w w:val="105"/>
        </w:rPr>
        <w:t> </w:t>
      </w:r>
      <w:r>
        <w:rPr>
          <w:w w:val="105"/>
        </w:rPr>
        <w:t>data</w:t>
      </w:r>
      <w:r>
        <w:rPr>
          <w:spacing w:val="-5"/>
          <w:w w:val="105"/>
        </w:rPr>
        <w:t> </w:t>
      </w:r>
      <w:r>
        <w:rPr>
          <w:w w:val="105"/>
        </w:rPr>
        <w:t>prepared</w:t>
      </w:r>
      <w:r>
        <w:rPr>
          <w:spacing w:val="-5"/>
          <w:w w:val="105"/>
        </w:rPr>
        <w:t> </w:t>
      </w:r>
      <w:r>
        <w:rPr>
          <w:w w:val="105"/>
        </w:rPr>
        <w:t>by analysts before transmittal to OMB</w:t>
      </w:r>
    </w:p>
    <w:p>
      <w:pPr>
        <w:pStyle w:val="BodyText"/>
        <w:spacing w:line="268" w:lineRule="auto" w:before="100"/>
        <w:ind w:left="609" w:right="199"/>
      </w:pPr>
      <w:r>
        <w:rPr>
          <w:w w:val="105"/>
        </w:rPr>
        <w:t>Oversee</w:t>
      </w:r>
      <w:r>
        <w:rPr>
          <w:spacing w:val="-8"/>
          <w:w w:val="105"/>
        </w:rPr>
        <w:t> </w:t>
      </w:r>
      <w:r>
        <w:rPr>
          <w:w w:val="105"/>
        </w:rPr>
        <w:t>response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OIG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GAO</w:t>
      </w:r>
      <w:r>
        <w:rPr>
          <w:spacing w:val="-8"/>
          <w:w w:val="105"/>
        </w:rPr>
        <w:t> </w:t>
      </w:r>
      <w:r>
        <w:rPr>
          <w:w w:val="105"/>
        </w:rPr>
        <w:t>audit</w:t>
      </w:r>
      <w:r>
        <w:rPr>
          <w:spacing w:val="-8"/>
          <w:w w:val="105"/>
        </w:rPr>
        <w:t> </w:t>
      </w:r>
      <w:r>
        <w:rPr>
          <w:w w:val="105"/>
        </w:rPr>
        <w:t>inquiries,</w:t>
      </w:r>
      <w:r>
        <w:rPr>
          <w:spacing w:val="-8"/>
          <w:w w:val="105"/>
        </w:rPr>
        <w:t> </w:t>
      </w:r>
      <w:r>
        <w:rPr>
          <w:w w:val="105"/>
        </w:rPr>
        <w:t>coordinating</w:t>
      </w:r>
      <w:r>
        <w:rPr>
          <w:spacing w:val="-8"/>
          <w:w w:val="105"/>
        </w:rPr>
        <w:t> </w:t>
      </w:r>
      <w:r>
        <w:rPr>
          <w:w w:val="105"/>
        </w:rPr>
        <w:t>with program ofﬁces to gather supporting documentation and craft management responses within required timeframes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261" w:lineRule="auto"/>
        <w:ind w:left="33" w:right="1106"/>
      </w:pPr>
      <w:r>
        <w:rPr>
          <w:spacing w:val="-2"/>
          <w:w w:val="105"/>
        </w:rPr>
        <w:t>SENIOR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BUDGET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ANALYST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MARYLAND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FINANCE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OFFICE, </w:t>
      </w:r>
      <w:r>
        <w:rPr>
          <w:w w:val="105"/>
        </w:rPr>
        <w:t>BALTIMORE, MD | JUNE 2011 - DECEMBER 2016</w:t>
      </w:r>
    </w:p>
    <w:p>
      <w:pPr>
        <w:pStyle w:val="BodyText"/>
        <w:spacing w:before="47"/>
      </w:pPr>
    </w:p>
    <w:p>
      <w:pPr>
        <w:pStyle w:val="BodyText"/>
        <w:spacing w:line="268" w:lineRule="auto"/>
        <w:ind w:left="609" w:right="445"/>
        <w:jc w:val="both"/>
      </w:pPr>
      <w:r>
        <w:rPr>
          <w:w w:val="105"/>
        </w:rPr>
        <w:t>Designed</w:t>
      </w:r>
      <w:r>
        <w:rPr>
          <w:spacing w:val="-1"/>
          <w:w w:val="105"/>
        </w:rPr>
        <w:t> </w:t>
      </w:r>
      <w:r>
        <w:rPr>
          <w:w w:val="105"/>
        </w:rPr>
        <w:t>performance-based</w:t>
      </w:r>
      <w:r>
        <w:rPr>
          <w:spacing w:val="-1"/>
          <w:w w:val="105"/>
        </w:rPr>
        <w:t> </w:t>
      </w:r>
      <w:r>
        <w:rPr>
          <w:w w:val="105"/>
        </w:rPr>
        <w:t>budgeting</w:t>
      </w:r>
      <w:r>
        <w:rPr>
          <w:spacing w:val="-1"/>
          <w:w w:val="105"/>
        </w:rPr>
        <w:t> </w:t>
      </w:r>
      <w:r>
        <w:rPr>
          <w:w w:val="105"/>
        </w:rPr>
        <w:t>frameworks</w:t>
      </w:r>
      <w:r>
        <w:rPr>
          <w:spacing w:val="-1"/>
          <w:w w:val="105"/>
        </w:rPr>
        <w:t> </w:t>
      </w:r>
      <w:r>
        <w:rPr>
          <w:w w:val="105"/>
        </w:rPr>
        <w:t>aligned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state strategic</w:t>
      </w:r>
      <w:r>
        <w:rPr>
          <w:spacing w:val="-2"/>
          <w:w w:val="105"/>
        </w:rPr>
        <w:t> </w:t>
      </w:r>
      <w:r>
        <w:rPr>
          <w:w w:val="105"/>
        </w:rPr>
        <w:t>goals,</w:t>
      </w:r>
      <w:r>
        <w:rPr>
          <w:spacing w:val="-2"/>
          <w:w w:val="105"/>
        </w:rPr>
        <w:t> </w:t>
      </w:r>
      <w:r>
        <w:rPr>
          <w:w w:val="105"/>
        </w:rPr>
        <w:t>incorporating</w:t>
      </w:r>
      <w:r>
        <w:rPr>
          <w:spacing w:val="-2"/>
          <w:w w:val="105"/>
        </w:rPr>
        <w:t> </w:t>
      </w:r>
      <w:r>
        <w:rPr>
          <w:w w:val="105"/>
        </w:rPr>
        <w:t>outcome</w:t>
      </w:r>
      <w:r>
        <w:rPr>
          <w:spacing w:val="-2"/>
          <w:w w:val="105"/>
        </w:rPr>
        <w:t> </w:t>
      </w:r>
      <w:r>
        <w:rPr>
          <w:w w:val="105"/>
        </w:rPr>
        <w:t>metrics</w:t>
      </w:r>
      <w:r>
        <w:rPr>
          <w:spacing w:val="-2"/>
          <w:w w:val="105"/>
        </w:rPr>
        <w:t> </w:t>
      </w:r>
      <w:r>
        <w:rPr>
          <w:w w:val="105"/>
        </w:rPr>
        <w:t>into</w:t>
      </w:r>
      <w:r>
        <w:rPr>
          <w:spacing w:val="-2"/>
          <w:w w:val="105"/>
        </w:rPr>
        <w:t> </w:t>
      </w:r>
      <w:r>
        <w:rPr>
          <w:w w:val="105"/>
        </w:rPr>
        <w:t>budget</w:t>
      </w:r>
      <w:r>
        <w:rPr>
          <w:spacing w:val="-2"/>
          <w:w w:val="105"/>
        </w:rPr>
        <w:t> </w:t>
      </w:r>
      <w:r>
        <w:rPr>
          <w:w w:val="105"/>
        </w:rPr>
        <w:t>justiﬁcations for 6 major agency programs</w:t>
      </w:r>
    </w:p>
    <w:p>
      <w:pPr>
        <w:pStyle w:val="BodyText"/>
        <w:spacing w:line="268" w:lineRule="auto" w:before="100"/>
        <w:ind w:left="609" w:right="199"/>
      </w:pPr>
      <w:r>
        <w:rPr>
          <w:w w:val="105"/>
        </w:rPr>
        <w:t>Managed</w:t>
      </w:r>
      <w:r>
        <w:rPr>
          <w:spacing w:val="-6"/>
          <w:w w:val="105"/>
        </w:rPr>
        <w:t> </w:t>
      </w:r>
      <w:r>
        <w:rPr>
          <w:w w:val="105"/>
        </w:rPr>
        <w:t>year-end</w:t>
      </w:r>
      <w:r>
        <w:rPr>
          <w:spacing w:val="-6"/>
          <w:w w:val="105"/>
        </w:rPr>
        <w:t> </w:t>
      </w:r>
      <w:r>
        <w:rPr>
          <w:w w:val="105"/>
        </w:rPr>
        <w:t>closeout</w:t>
      </w:r>
      <w:r>
        <w:rPr>
          <w:spacing w:val="-6"/>
          <w:w w:val="105"/>
        </w:rPr>
        <w:t> </w:t>
      </w:r>
      <w:r>
        <w:rPr>
          <w:w w:val="105"/>
        </w:rPr>
        <w:t>processes</w:t>
      </w:r>
      <w:r>
        <w:rPr>
          <w:spacing w:val="-6"/>
          <w:w w:val="105"/>
        </w:rPr>
        <w:t> </w:t>
      </w:r>
      <w:r>
        <w:rPr>
          <w:w w:val="105"/>
        </w:rPr>
        <w:t>across</w:t>
      </w:r>
      <w:r>
        <w:rPr>
          <w:spacing w:val="-6"/>
          <w:w w:val="105"/>
        </w:rPr>
        <w:t> </w:t>
      </w:r>
      <w:r>
        <w:rPr>
          <w:w w:val="105"/>
        </w:rPr>
        <w:t>4</w:t>
      </w:r>
      <w:r>
        <w:rPr>
          <w:spacing w:val="-6"/>
          <w:w w:val="105"/>
        </w:rPr>
        <w:t> </w:t>
      </w:r>
      <w:r>
        <w:rPr>
          <w:w w:val="105"/>
        </w:rPr>
        <w:t>state</w:t>
      </w:r>
      <w:r>
        <w:rPr>
          <w:spacing w:val="-6"/>
          <w:w w:val="105"/>
        </w:rPr>
        <w:t> </w:t>
      </w:r>
      <w:r>
        <w:rPr>
          <w:w w:val="105"/>
        </w:rPr>
        <w:t>agencies</w:t>
      </w:r>
      <w:r>
        <w:rPr>
          <w:spacing w:val="-6"/>
          <w:w w:val="105"/>
        </w:rPr>
        <w:t> </w:t>
      </w:r>
      <w:r>
        <w:rPr>
          <w:w w:val="105"/>
        </w:rPr>
        <w:t>and facilitated interdepartmental collaboration to resolve ﬁnal obligation disputes before ﬁscal year closure</w:t>
      </w:r>
    </w:p>
    <w:p>
      <w:pPr>
        <w:pStyle w:val="BodyText"/>
        <w:spacing w:line="261" w:lineRule="auto" w:before="99"/>
        <w:ind w:left="609" w:right="199"/>
      </w:pPr>
      <w:r>
        <w:rPr>
          <w:w w:val="105"/>
        </w:rPr>
        <w:t>Authored agency-wide budget policy manuals used for onboarding and staff</w:t>
      </w:r>
      <w:r>
        <w:rPr>
          <w:spacing w:val="-8"/>
          <w:w w:val="105"/>
        </w:rPr>
        <w:t> </w:t>
      </w:r>
      <w:r>
        <w:rPr>
          <w:w w:val="105"/>
        </w:rPr>
        <w:t>training,</w:t>
      </w:r>
      <w:r>
        <w:rPr>
          <w:spacing w:val="-8"/>
          <w:w w:val="105"/>
        </w:rPr>
        <w:t> </w:t>
      </w:r>
      <w:r>
        <w:rPr>
          <w:w w:val="105"/>
        </w:rPr>
        <w:t>reducing</w:t>
      </w:r>
      <w:r>
        <w:rPr>
          <w:spacing w:val="-8"/>
          <w:w w:val="105"/>
        </w:rPr>
        <w:t> </w:t>
      </w:r>
      <w:r>
        <w:rPr>
          <w:w w:val="105"/>
        </w:rPr>
        <w:t>new</w:t>
      </w:r>
      <w:r>
        <w:rPr>
          <w:spacing w:val="-8"/>
          <w:w w:val="105"/>
        </w:rPr>
        <w:t> </w:t>
      </w:r>
      <w:r>
        <w:rPr>
          <w:w w:val="105"/>
        </w:rPr>
        <w:t>analyst</w:t>
      </w:r>
      <w:r>
        <w:rPr>
          <w:spacing w:val="-8"/>
          <w:w w:val="105"/>
        </w:rPr>
        <w:t> </w:t>
      </w:r>
      <w:r>
        <w:rPr>
          <w:w w:val="105"/>
        </w:rPr>
        <w:t>ramp-up</w:t>
      </w:r>
      <w:r>
        <w:rPr>
          <w:spacing w:val="-8"/>
          <w:w w:val="105"/>
        </w:rPr>
        <w:t> </w:t>
      </w:r>
      <w:r>
        <w:rPr>
          <w:w w:val="105"/>
        </w:rPr>
        <w:t>time</w:t>
      </w:r>
      <w:r>
        <w:rPr>
          <w:spacing w:val="-8"/>
          <w:w w:val="105"/>
        </w:rPr>
        <w:t> </w:t>
      </w:r>
      <w:r>
        <w:rPr>
          <w:w w:val="105"/>
        </w:rPr>
        <w:t>from</w:t>
      </w:r>
      <w:r>
        <w:rPr>
          <w:spacing w:val="-8"/>
          <w:w w:val="105"/>
        </w:rPr>
        <w:t> </w:t>
      </w:r>
      <w:r>
        <w:rPr>
          <w:w w:val="105"/>
        </w:rPr>
        <w:t>8</w:t>
      </w:r>
      <w:r>
        <w:rPr>
          <w:spacing w:val="-8"/>
          <w:w w:val="105"/>
        </w:rPr>
        <w:t> </w:t>
      </w:r>
      <w:r>
        <w:rPr>
          <w:w w:val="105"/>
        </w:rPr>
        <w:t>weeks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5</w:t>
      </w:r>
      <w:r>
        <w:rPr>
          <w:spacing w:val="-8"/>
          <w:w w:val="105"/>
        </w:rPr>
        <w:t> </w:t>
      </w:r>
      <w:r>
        <w:rPr>
          <w:w w:val="105"/>
        </w:rPr>
        <w:t>weeks</w:t>
      </w:r>
    </w:p>
    <w:sectPr>
      <w:type w:val="continuous"/>
      <w:pgSz w:w="11920" w:h="16860"/>
      <w:pgMar w:top="540" w:bottom="280" w:left="283" w:right="425"/>
      <w:cols w:num="2" w:equalWidth="0">
        <w:col w:w="3713" w:space="491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9"/>
      <w:jc w:val="center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2026-03-12T15:02:55Z</dcterms:created>
  <dcterms:modified xsi:type="dcterms:W3CDTF">2026-03-12T15:02:55Z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