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97"/>
        <w:rPr>
          <w:rFonts w:ascii="Times New Roman"/>
          <w:sz w:val="74"/>
        </w:rPr>
      </w:pPr>
    </w:p>
    <w:p>
      <w:pPr>
        <w:spacing w:before="0"/>
        <w:ind w:left="5060" w:right="0" w:firstLine="0"/>
        <w:jc w:val="left"/>
        <w:rPr>
          <w:sz w:val="74"/>
        </w:rPr>
      </w:pPr>
      <w:r>
        <w:rPr>
          <w:sz w:val="74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542924</wp:posOffset>
                </wp:positionH>
                <wp:positionV relativeFrom="paragraph">
                  <wp:posOffset>-149560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935"/>
                              <w:ind w:left="699" w:right="0" w:firstLine="0"/>
                              <w:jc w:val="left"/>
                              <w:rPr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MJ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11.77639pt;width:135pt;height:156.75pt;mso-position-horizontal-relative:page;mso-position-vertical-relative:paragraph;z-index:15729664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spacing w:before="935"/>
                        <w:ind w:left="699" w:right="0" w:firstLine="0"/>
                        <w:jc w:val="left"/>
                        <w:rPr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89"/>
                        </w:rPr>
                        <w:t>MJ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A26E00"/>
          <w:sz w:val="74"/>
        </w:rPr>
        <w:t>Morgan</w:t>
      </w:r>
      <w:r>
        <w:rPr>
          <w:b/>
          <w:color w:val="A26E00"/>
          <w:spacing w:val="-6"/>
          <w:sz w:val="74"/>
        </w:rPr>
        <w:t> </w:t>
      </w:r>
      <w:r>
        <w:rPr>
          <w:color w:val="A26E00"/>
          <w:spacing w:val="-2"/>
          <w:sz w:val="74"/>
        </w:rPr>
        <w:t>Johnson</w:t>
      </w:r>
    </w:p>
    <w:p>
      <w:pPr>
        <w:spacing w:before="72"/>
        <w:ind w:left="7240" w:right="0" w:firstLine="0"/>
        <w:jc w:val="left"/>
        <w:rPr>
          <w:sz w:val="22"/>
        </w:rPr>
      </w:pPr>
      <w:r>
        <w:rPr>
          <w:sz w:val="22"/>
        </w:rPr>
        <w:t>Appellate</w:t>
      </w:r>
      <w:r>
        <w:rPr>
          <w:spacing w:val="-11"/>
          <w:sz w:val="22"/>
        </w:rPr>
        <w:t> </w:t>
      </w:r>
      <w:r>
        <w:rPr>
          <w:spacing w:val="-2"/>
          <w:sz w:val="22"/>
        </w:rPr>
        <w:t>Attorney</w:t>
      </w:r>
    </w:p>
    <w:p>
      <w:pPr>
        <w:pStyle w:val="BodyText"/>
        <w:spacing w:line="261" w:lineRule="auto" w:before="234"/>
        <w:ind w:left="4883" w:right="961"/>
        <w:jc w:val="center"/>
      </w:pPr>
      <w:r>
        <w:rPr>
          <w:w w:val="105"/>
        </w:rPr>
        <w:t>Focused appellate attorney with 5+ years of drafting merits briefs and presenting oral arguments before state and federal appellate courts, specializing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constitutional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administrative</w:t>
      </w:r>
      <w:r>
        <w:rPr>
          <w:spacing w:val="-13"/>
          <w:w w:val="105"/>
        </w:rPr>
        <w:t> </w:t>
      </w:r>
      <w:r>
        <w:rPr>
          <w:w w:val="105"/>
        </w:rPr>
        <w:t>law</w:t>
      </w:r>
      <w:r>
        <w:rPr>
          <w:spacing w:val="-13"/>
          <w:w w:val="105"/>
        </w:rPr>
        <w:t> </w:t>
      </w:r>
      <w:r>
        <w:rPr>
          <w:w w:val="105"/>
        </w:rPr>
        <w:t>appeals.</w:t>
      </w:r>
      <w:r>
        <w:rPr>
          <w:spacing w:val="-13"/>
          <w:w w:val="105"/>
        </w:rPr>
        <w:t> </w:t>
      </w:r>
      <w:r>
        <w:rPr>
          <w:w w:val="105"/>
        </w:rPr>
        <w:t>Achieved</w:t>
      </w:r>
      <w:r>
        <w:rPr>
          <w:spacing w:val="-14"/>
          <w:w w:val="105"/>
        </w:rPr>
        <w:t> </w:t>
      </w:r>
      <w:r>
        <w:rPr>
          <w:w w:val="105"/>
        </w:rPr>
        <w:t>a 60%</w:t>
      </w:r>
      <w:r>
        <w:rPr>
          <w:spacing w:val="-6"/>
          <w:w w:val="105"/>
        </w:rPr>
        <w:t> </w:t>
      </w:r>
      <w:r>
        <w:rPr>
          <w:w w:val="105"/>
        </w:rPr>
        <w:t>reversal</w:t>
      </w:r>
      <w:r>
        <w:rPr>
          <w:spacing w:val="-6"/>
          <w:w w:val="105"/>
        </w:rPr>
        <w:t> </w:t>
      </w:r>
      <w:r>
        <w:rPr>
          <w:w w:val="105"/>
        </w:rPr>
        <w:t>rate</w:t>
      </w:r>
      <w:r>
        <w:rPr>
          <w:spacing w:val="-6"/>
          <w:w w:val="105"/>
        </w:rPr>
        <w:t> </w:t>
      </w:r>
      <w:r>
        <w:rPr>
          <w:w w:val="105"/>
        </w:rPr>
        <w:t>across</w:t>
      </w:r>
      <w:r>
        <w:rPr>
          <w:spacing w:val="-6"/>
          <w:w w:val="105"/>
        </w:rPr>
        <w:t> </w:t>
      </w:r>
      <w:r>
        <w:rPr>
          <w:w w:val="105"/>
        </w:rPr>
        <w:t>40+</w:t>
      </w:r>
      <w:r>
        <w:rPr>
          <w:spacing w:val="-6"/>
          <w:w w:val="105"/>
        </w:rPr>
        <w:t> </w:t>
      </w:r>
      <w:r>
        <w:rPr>
          <w:w w:val="105"/>
        </w:rPr>
        <w:t>merits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reply</w:t>
      </w:r>
      <w:r>
        <w:rPr>
          <w:spacing w:val="-6"/>
          <w:w w:val="105"/>
        </w:rPr>
        <w:t> </w:t>
      </w:r>
      <w:r>
        <w:rPr>
          <w:w w:val="105"/>
        </w:rPr>
        <w:t>briefs,</w:t>
      </w:r>
      <w:r>
        <w:rPr>
          <w:spacing w:val="-6"/>
          <w:w w:val="105"/>
        </w:rPr>
        <w:t> </w:t>
      </w:r>
      <w:r>
        <w:rPr>
          <w:w w:val="105"/>
        </w:rPr>
        <w:t>presented</w:t>
      </w:r>
      <w:r>
        <w:rPr>
          <w:spacing w:val="-6"/>
          <w:w w:val="105"/>
        </w:rPr>
        <w:t> </w:t>
      </w:r>
      <w:r>
        <w:rPr>
          <w:w w:val="105"/>
        </w:rPr>
        <w:t>15</w:t>
      </w:r>
      <w:r>
        <w:rPr>
          <w:spacing w:val="-6"/>
          <w:w w:val="105"/>
        </w:rPr>
        <w:t> </w:t>
      </w:r>
      <w:r>
        <w:rPr>
          <w:w w:val="105"/>
        </w:rPr>
        <w:t>oral arguments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favorable</w:t>
      </w:r>
      <w:r>
        <w:rPr>
          <w:spacing w:val="-13"/>
          <w:w w:val="105"/>
        </w:rPr>
        <w:t> </w:t>
      </w:r>
      <w:r>
        <w:rPr>
          <w:w w:val="105"/>
        </w:rPr>
        <w:t>rulings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8</w:t>
      </w:r>
      <w:r>
        <w:rPr>
          <w:spacing w:val="-13"/>
          <w:w w:val="105"/>
        </w:rPr>
        <w:t> </w:t>
      </w:r>
      <w:r>
        <w:rPr>
          <w:w w:val="105"/>
        </w:rPr>
        <w:t>cases,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cut</w:t>
      </w:r>
      <w:r>
        <w:rPr>
          <w:spacing w:val="-13"/>
          <w:w w:val="105"/>
        </w:rPr>
        <w:t> </w:t>
      </w:r>
      <w:r>
        <w:rPr>
          <w:w w:val="105"/>
        </w:rPr>
        <w:t>brieﬁng</w:t>
      </w:r>
      <w:r>
        <w:rPr>
          <w:spacing w:val="-13"/>
          <w:w w:val="105"/>
        </w:rPr>
        <w:t> </w:t>
      </w:r>
      <w:r>
        <w:rPr>
          <w:w w:val="105"/>
        </w:rPr>
        <w:t>preparation time by 25% through workﬂow improvements.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Heading1"/>
        <w:spacing w:before="62"/>
      </w:pPr>
      <w:r>
        <w:rPr>
          <w:color w:val="FFFFFF"/>
          <w:spacing w:val="-2"/>
        </w:rPr>
        <w:t>CONTACT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74"/>
        <w:rPr>
          <w:sz w:val="24"/>
        </w:rPr>
      </w:pPr>
    </w:p>
    <w:p>
      <w:pPr>
        <w:pStyle w:val="BodyText"/>
        <w:ind w:left="1050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151"/>
      </w:pPr>
      <w:r>
        <w:rPr/>
        <w:br w:type="column"/>
      </w:r>
      <w:r>
        <w:rPr/>
      </w:r>
    </w:p>
    <w:p>
      <w:pPr>
        <w:pStyle w:val="BodyText"/>
        <w:spacing w:line="261" w:lineRule="auto"/>
        <w:ind w:left="139" w:right="303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2952749</wp:posOffset>
                </wp:positionH>
                <wp:positionV relativeFrom="paragraph">
                  <wp:posOffset>-416574</wp:posOffset>
                </wp:positionV>
                <wp:extent cx="4615815" cy="2857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285750"/>
                        </a:xfrm>
                        <a:prstGeom prst="rect">
                          <a:avLst/>
                        </a:prstGeom>
                        <a:solidFill>
                          <a:srgbClr val="A26E00"/>
                        </a:solidFill>
                      </wps:spPr>
                      <wps:txbx>
                        <w:txbxContent>
                          <w:p>
                            <w:pPr>
                              <w:spacing w:before="60"/>
                              <w:ind w:left="242" w:right="0" w:firstLine="0"/>
                              <w:jc w:val="left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color w:val="FFFFFF"/>
                                <w:spacing w:val="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2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-32.801144pt;width:363.45pt;height:22.5pt;mso-position-horizontal-relative:page;mso-position-vertical-relative:paragraph;z-index:15729152" type="#_x0000_t202" id="docshape2" filled="true" fillcolor="#a26e00" stroked="false">
                <v:textbox inset="0,0,0,0">
                  <w:txbxContent>
                    <w:p>
                      <w:pPr>
                        <w:spacing w:before="60"/>
                        <w:ind w:left="242" w:right="0" w:firstLine="0"/>
                        <w:jc w:val="left"/>
                        <w:rPr>
                          <w:color w:val="000000"/>
                          <w:sz w:val="24"/>
                        </w:rPr>
                      </w:pPr>
                      <w:r>
                        <w:rPr>
                          <w:color w:val="FFFFFF"/>
                          <w:spacing w:val="-2"/>
                          <w:sz w:val="24"/>
                        </w:rPr>
                        <w:t>PROFESSIONAL</w:t>
                      </w:r>
                      <w:r>
                        <w:rPr>
                          <w:color w:val="FFFFFF"/>
                          <w:spacing w:val="4"/>
                          <w:sz w:val="24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24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Appellate</w:t>
      </w:r>
      <w:r>
        <w:rPr>
          <w:spacing w:val="-14"/>
          <w:w w:val="105"/>
        </w:rPr>
        <w:t> </w:t>
      </w:r>
      <w:r>
        <w:rPr>
          <w:w w:val="105"/>
        </w:rPr>
        <w:t>Counsel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w w:val="105"/>
        </w:rPr>
        <w:t>2018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Present Appeals &amp; Co. | City, ST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0" w:bottom="0" w:left="141" w:right="0"/>
          <w:cols w:num="2" w:equalWidth="0">
            <w:col w:w="3066" w:space="1565"/>
            <w:col w:w="7148"/>
          </w:cols>
        </w:sectPr>
      </w:pPr>
    </w:p>
    <w:p>
      <w:pPr>
        <w:pStyle w:val="BodyText"/>
        <w:spacing w:before="12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194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623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1052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57187" y="5000624"/>
                            <a:ext cx="47625" cy="4543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543425">
                                <a:moveTo>
                                  <a:pt x="47625" y="4516272"/>
                                </a:moveTo>
                                <a:lnTo>
                                  <a:pt x="27165" y="4495800"/>
                                </a:lnTo>
                                <a:lnTo>
                                  <a:pt x="20472" y="4495800"/>
                                </a:lnTo>
                                <a:lnTo>
                                  <a:pt x="0" y="4516272"/>
                                </a:lnTo>
                                <a:lnTo>
                                  <a:pt x="0" y="4519841"/>
                                </a:lnTo>
                                <a:lnTo>
                                  <a:pt x="0" y="4522965"/>
                                </a:lnTo>
                                <a:lnTo>
                                  <a:pt x="20472" y="4543425"/>
                                </a:lnTo>
                                <a:lnTo>
                                  <a:pt x="27165" y="4543425"/>
                                </a:lnTo>
                                <a:lnTo>
                                  <a:pt x="47625" y="4522965"/>
                                </a:lnTo>
                                <a:lnTo>
                                  <a:pt x="47625" y="4516272"/>
                                </a:lnTo>
                                <a:close/>
                              </a:path>
                              <a:path w="47625" h="4543425">
                                <a:moveTo>
                                  <a:pt x="47625" y="4316234"/>
                                </a:moveTo>
                                <a:lnTo>
                                  <a:pt x="27165" y="4295775"/>
                                </a:lnTo>
                                <a:lnTo>
                                  <a:pt x="20472" y="4295775"/>
                                </a:lnTo>
                                <a:lnTo>
                                  <a:pt x="0" y="4316234"/>
                                </a:lnTo>
                                <a:lnTo>
                                  <a:pt x="0" y="4319816"/>
                                </a:lnTo>
                                <a:lnTo>
                                  <a:pt x="0" y="4322940"/>
                                </a:lnTo>
                                <a:lnTo>
                                  <a:pt x="20472" y="4343400"/>
                                </a:lnTo>
                                <a:lnTo>
                                  <a:pt x="27165" y="4343400"/>
                                </a:lnTo>
                                <a:lnTo>
                                  <a:pt x="47625" y="4322940"/>
                                </a:lnTo>
                                <a:lnTo>
                                  <a:pt x="47625" y="4316234"/>
                                </a:lnTo>
                                <a:close/>
                              </a:path>
                              <a:path w="47625" h="4543425">
                                <a:moveTo>
                                  <a:pt x="47625" y="3969397"/>
                                </a:moveTo>
                                <a:lnTo>
                                  <a:pt x="31102" y="3952875"/>
                                </a:lnTo>
                                <a:lnTo>
                                  <a:pt x="16535" y="3952875"/>
                                </a:lnTo>
                                <a:lnTo>
                                  <a:pt x="0" y="3969397"/>
                                </a:lnTo>
                                <a:lnTo>
                                  <a:pt x="0" y="3971925"/>
                                </a:lnTo>
                                <a:lnTo>
                                  <a:pt x="0" y="3974452"/>
                                </a:lnTo>
                                <a:lnTo>
                                  <a:pt x="16535" y="3990975"/>
                                </a:lnTo>
                                <a:lnTo>
                                  <a:pt x="31102" y="3990975"/>
                                </a:lnTo>
                                <a:lnTo>
                                  <a:pt x="47625" y="3974452"/>
                                </a:lnTo>
                                <a:lnTo>
                                  <a:pt x="47625" y="3969397"/>
                                </a:lnTo>
                                <a:close/>
                              </a:path>
                              <a:path w="47625" h="4543425">
                                <a:moveTo>
                                  <a:pt x="47625" y="3763784"/>
                                </a:moveTo>
                                <a:lnTo>
                                  <a:pt x="27165" y="3743325"/>
                                </a:lnTo>
                                <a:lnTo>
                                  <a:pt x="20472" y="3743325"/>
                                </a:lnTo>
                                <a:lnTo>
                                  <a:pt x="0" y="3763784"/>
                                </a:lnTo>
                                <a:lnTo>
                                  <a:pt x="0" y="3767366"/>
                                </a:lnTo>
                                <a:lnTo>
                                  <a:pt x="0" y="3770490"/>
                                </a:lnTo>
                                <a:lnTo>
                                  <a:pt x="20472" y="3790950"/>
                                </a:lnTo>
                                <a:lnTo>
                                  <a:pt x="27165" y="3790950"/>
                                </a:lnTo>
                                <a:lnTo>
                                  <a:pt x="47625" y="3770490"/>
                                </a:lnTo>
                                <a:lnTo>
                                  <a:pt x="47625" y="3763784"/>
                                </a:lnTo>
                                <a:close/>
                              </a:path>
                              <a:path w="47625" h="4543425">
                                <a:moveTo>
                                  <a:pt x="47625" y="3563772"/>
                                </a:moveTo>
                                <a:lnTo>
                                  <a:pt x="27165" y="3543300"/>
                                </a:lnTo>
                                <a:lnTo>
                                  <a:pt x="20472" y="3543300"/>
                                </a:lnTo>
                                <a:lnTo>
                                  <a:pt x="0" y="3563772"/>
                                </a:lnTo>
                                <a:lnTo>
                                  <a:pt x="0" y="3567341"/>
                                </a:lnTo>
                                <a:lnTo>
                                  <a:pt x="0" y="3570465"/>
                                </a:lnTo>
                                <a:lnTo>
                                  <a:pt x="20472" y="3590925"/>
                                </a:lnTo>
                                <a:lnTo>
                                  <a:pt x="27165" y="3590925"/>
                                </a:lnTo>
                                <a:lnTo>
                                  <a:pt x="47625" y="3570465"/>
                                </a:lnTo>
                                <a:lnTo>
                                  <a:pt x="47625" y="3563772"/>
                                </a:lnTo>
                                <a:close/>
                              </a:path>
                              <a:path w="47625" h="4543425">
                                <a:moveTo>
                                  <a:pt x="47625" y="3220859"/>
                                </a:moveTo>
                                <a:lnTo>
                                  <a:pt x="27165" y="3200400"/>
                                </a:lnTo>
                                <a:lnTo>
                                  <a:pt x="20472" y="3200400"/>
                                </a:lnTo>
                                <a:lnTo>
                                  <a:pt x="0" y="3220859"/>
                                </a:lnTo>
                                <a:lnTo>
                                  <a:pt x="0" y="3224441"/>
                                </a:lnTo>
                                <a:lnTo>
                                  <a:pt x="0" y="3227565"/>
                                </a:lnTo>
                                <a:lnTo>
                                  <a:pt x="20472" y="3248025"/>
                                </a:lnTo>
                                <a:lnTo>
                                  <a:pt x="27165" y="3248025"/>
                                </a:lnTo>
                                <a:lnTo>
                                  <a:pt x="47625" y="3227565"/>
                                </a:lnTo>
                                <a:lnTo>
                                  <a:pt x="47625" y="3220859"/>
                                </a:lnTo>
                                <a:close/>
                              </a:path>
                              <a:path w="47625" h="4543425">
                                <a:moveTo>
                                  <a:pt x="47625" y="2877972"/>
                                </a:moveTo>
                                <a:lnTo>
                                  <a:pt x="27165" y="2857500"/>
                                </a:lnTo>
                                <a:lnTo>
                                  <a:pt x="20472" y="2857500"/>
                                </a:lnTo>
                                <a:lnTo>
                                  <a:pt x="0" y="2877972"/>
                                </a:lnTo>
                                <a:lnTo>
                                  <a:pt x="0" y="2881541"/>
                                </a:lnTo>
                                <a:lnTo>
                                  <a:pt x="0" y="2884665"/>
                                </a:lnTo>
                                <a:lnTo>
                                  <a:pt x="20472" y="2905125"/>
                                </a:lnTo>
                                <a:lnTo>
                                  <a:pt x="27165" y="2905125"/>
                                </a:lnTo>
                                <a:lnTo>
                                  <a:pt x="47625" y="2884665"/>
                                </a:lnTo>
                                <a:lnTo>
                                  <a:pt x="47625" y="2877972"/>
                                </a:lnTo>
                                <a:close/>
                              </a:path>
                              <a:path w="47625" h="4543425">
                                <a:moveTo>
                                  <a:pt x="47625" y="2535072"/>
                                </a:moveTo>
                                <a:lnTo>
                                  <a:pt x="27165" y="2514600"/>
                                </a:lnTo>
                                <a:lnTo>
                                  <a:pt x="20472" y="2514600"/>
                                </a:lnTo>
                                <a:lnTo>
                                  <a:pt x="0" y="2535072"/>
                                </a:lnTo>
                                <a:lnTo>
                                  <a:pt x="0" y="2538641"/>
                                </a:lnTo>
                                <a:lnTo>
                                  <a:pt x="0" y="2541765"/>
                                </a:lnTo>
                                <a:lnTo>
                                  <a:pt x="20472" y="2562225"/>
                                </a:lnTo>
                                <a:lnTo>
                                  <a:pt x="27165" y="2562225"/>
                                </a:lnTo>
                                <a:lnTo>
                                  <a:pt x="47625" y="2541765"/>
                                </a:lnTo>
                                <a:lnTo>
                                  <a:pt x="47625" y="2535072"/>
                                </a:lnTo>
                                <a:close/>
                              </a:path>
                              <a:path w="47625" h="4543425">
                                <a:moveTo>
                                  <a:pt x="47625" y="2182647"/>
                                </a:moveTo>
                                <a:lnTo>
                                  <a:pt x="27165" y="2162175"/>
                                </a:lnTo>
                                <a:lnTo>
                                  <a:pt x="20472" y="2162175"/>
                                </a:lnTo>
                                <a:lnTo>
                                  <a:pt x="0" y="2182647"/>
                                </a:lnTo>
                                <a:lnTo>
                                  <a:pt x="0" y="2186216"/>
                                </a:lnTo>
                                <a:lnTo>
                                  <a:pt x="0" y="2189340"/>
                                </a:lnTo>
                                <a:lnTo>
                                  <a:pt x="20472" y="2209800"/>
                                </a:lnTo>
                                <a:lnTo>
                                  <a:pt x="27165" y="2209800"/>
                                </a:lnTo>
                                <a:lnTo>
                                  <a:pt x="47625" y="2189340"/>
                                </a:lnTo>
                                <a:lnTo>
                                  <a:pt x="47625" y="2182647"/>
                                </a:lnTo>
                                <a:close/>
                              </a:path>
                              <a:path w="47625" h="4543425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45434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5984" id="docshapegroup3" coordorigin="0,0" coordsize="4410,16860">
                <v:rect style="position:absolute;left:0;top:0;width:4410;height:16860" id="docshape4" filled="true" fillcolor="#a26e00" stroked="false">
                  <v:fill type="solid"/>
                </v:rect>
                <v:shape style="position:absolute;left:720;top:5385;width:317;height:317" type="#_x0000_t75" id="docshape5" stroked="false">
                  <v:imagedata r:id="rId5" o:title=""/>
                </v:shape>
                <v:shape style="position:absolute;left:740;top:5925;width:275;height:317" type="#_x0000_t75" id="docshape6" stroked="false">
                  <v:imagedata r:id="rId6" o:title=""/>
                </v:shape>
                <v:shape style="position:absolute;left:721;top:6465;width:315;height:317" type="#_x0000_t75" id="docshape7" stroked="false">
                  <v:imagedata r:id="rId7" o:title=""/>
                </v:shape>
                <v:shape style="position:absolute;left:719;top:7875;width:75;height:7155" id="docshape8" coordorigin="720,7875" coordsize="75,7155" path="m795,14987l794,14982,790,14973,788,14969,781,14962,777,14960,768,14956,763,14955,752,14955,747,14956,738,14960,734,14962,727,14969,725,14973,721,14982,720,14987,720,14993,720,14998,721,15003,725,15012,727,15016,734,15023,738,15025,747,15029,752,15030,763,15030,768,15029,777,15025,781,15023,788,15016,790,15012,794,15003,795,14998,795,14987xm795,14672l794,14667,790,14658,788,14654,781,14647,777,14645,768,14641,763,14640,752,14640,747,14641,738,14645,734,14647,727,14654,725,14658,721,14667,720,14672,720,14678,720,14683,721,14688,725,14697,727,14701,734,14708,738,14710,747,14714,752,14715,763,14715,768,14714,777,14710,781,14708,788,14701,790,14697,794,14688,795,14683,795,14672xm795,14126l794,14122,791,14115,789,14112,783,14106,780,14104,773,14101,769,14100,746,14100,742,14101,735,14104,732,14106,726,14112,724,14115,721,14122,720,14126,720,14130,720,14134,721,14138,724,14145,726,14148,732,14154,735,14156,742,14159,746,14160,769,14160,773,14159,780,14156,783,14154,789,14148,791,14145,794,14138,795,14134,795,14126xm795,13802l794,13797,790,13788,788,13784,781,13777,777,13775,768,13771,763,13770,752,13770,747,13771,738,13775,734,13777,727,13784,725,13788,721,13797,720,13802,720,13808,720,13813,721,13818,725,13827,727,13831,734,13838,738,13840,747,13844,752,13845,763,13845,768,13844,777,13840,781,13838,788,13831,790,13827,794,13818,795,13813,795,13802xm795,13487l794,13482,790,13473,788,13469,781,13462,777,13460,768,13456,763,13455,752,13455,747,13456,738,13460,734,13462,727,13469,725,13473,721,13482,720,13487,720,13493,720,13498,721,13503,725,13512,727,13516,734,13523,738,13525,747,13529,752,13530,763,13530,768,13529,777,13525,781,13523,788,13516,790,13512,794,13503,795,13498,795,13487xm795,12947l794,12942,790,12933,788,12929,781,12922,777,12920,768,12916,763,12915,752,12915,747,12916,738,12920,734,12922,727,12929,725,12933,721,12942,720,12947,720,12953,720,12958,721,12963,725,12972,727,12976,734,12983,738,12985,747,12989,752,12990,763,12990,768,12989,777,12985,781,12983,788,12976,790,12972,794,12963,795,12958,795,12947xm795,12407l794,12402,790,12393,788,12389,781,12382,777,12380,768,12376,763,12375,752,12375,747,12376,738,12380,734,12382,727,12389,725,12393,721,12402,720,12407,720,12413,720,12418,721,12423,725,12432,727,12436,734,12443,738,12445,747,12449,752,12450,763,12450,768,12449,777,12445,781,12443,788,12436,790,12432,794,12423,795,12418,795,12407xm795,11867l794,11862,790,11853,788,11849,781,11842,777,11840,768,11836,763,11835,752,11835,747,11836,738,11840,734,11842,727,11849,725,11853,721,11862,720,11867,720,11873,720,11878,721,11883,725,11892,727,11896,734,11903,738,11905,747,11909,752,11910,763,11910,768,11909,777,11905,781,11903,788,11896,790,11892,794,11883,795,11878,795,11867xm795,11312l794,11307,790,11298,788,11294,781,11287,777,11285,768,11281,763,11280,752,11280,747,11281,738,11285,734,11287,727,11294,725,11298,721,11307,720,11312,720,11318,720,11323,721,11328,725,11337,727,11341,734,11348,738,11350,747,11354,752,11355,763,11355,768,11354,777,11350,781,11348,788,11341,790,11337,794,11328,795,11323,795,11312xm795,9122l794,9117,790,9108,788,9104,781,9097,777,9095,768,9091,763,9090,752,9090,747,9091,738,9095,734,9097,727,9104,725,9108,721,9117,720,9122,720,9128,720,9133,721,9138,725,9147,727,9151,734,9158,738,9160,747,9164,752,9165,763,9165,768,9164,777,9160,781,9158,788,9151,790,9147,794,9138,795,9133,795,9122xm795,7907l794,7902,790,7893,788,7889,781,7882,777,7880,768,7876,763,7875,752,7875,747,7876,738,7880,734,7882,727,7889,725,7893,721,7902,720,7907,720,7913,720,7918,721,7923,725,7932,727,7936,734,7943,738,7945,747,7949,752,7950,763,7950,768,7949,777,7945,781,7943,788,7936,790,7932,794,7923,795,7918,795,790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626" w:lineRule="auto"/>
        <w:ind w:left="1050" w:right="882"/>
      </w:pPr>
      <w:hyperlink r:id="rId8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</w:t>
      </w:r>
    </w:p>
    <w:p>
      <w:pPr>
        <w:pStyle w:val="Heading1"/>
        <w:spacing w:before="168"/>
      </w:pPr>
      <w:r>
        <w:rPr>
          <w:color w:val="FFFFFF"/>
          <w:spacing w:val="-2"/>
        </w:rPr>
        <w:t>EDUCATION</w:t>
      </w:r>
    </w:p>
    <w:p>
      <w:pPr>
        <w:pStyle w:val="BodyText"/>
        <w:spacing w:before="29"/>
        <w:rPr>
          <w:sz w:val="24"/>
        </w:rPr>
      </w:pPr>
    </w:p>
    <w:p>
      <w:pPr>
        <w:pStyle w:val="BodyText"/>
        <w:spacing w:line="626" w:lineRule="auto" w:before="1"/>
        <w:ind w:left="882" w:right="568"/>
      </w:pPr>
      <w:r>
        <w:rPr>
          <w:color w:val="FFFFFF"/>
          <w:w w:val="105"/>
        </w:rPr>
        <w:t>Juris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Doctor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(J.D.)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|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May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2015 </w:t>
      </w:r>
      <w:r>
        <w:rPr>
          <w:color w:val="FFFFFF"/>
          <w:spacing w:val="-4"/>
          <w:w w:val="105"/>
        </w:rPr>
        <w:t>Top-Tier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4"/>
          <w:w w:val="105"/>
        </w:rPr>
        <w:t>Law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4"/>
          <w:w w:val="105"/>
        </w:rPr>
        <w:t>School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4"/>
          <w:w w:val="105"/>
        </w:rPr>
        <w:t>|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4"/>
          <w:w w:val="105"/>
        </w:rPr>
        <w:t>City,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5"/>
          <w:w w:val="105"/>
        </w:rPr>
        <w:t>ST</w:t>
      </w:r>
    </w:p>
    <w:p>
      <w:pPr>
        <w:pStyle w:val="BodyText"/>
        <w:spacing w:line="261" w:lineRule="auto" w:before="134"/>
        <w:ind w:left="882"/>
      </w:pPr>
      <w:r>
        <w:rPr>
          <w:color w:val="FFFFFF"/>
          <w:w w:val="105"/>
        </w:rPr>
        <w:t>Bachelor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Arts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Philosophy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|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May </w:t>
      </w:r>
      <w:r>
        <w:rPr>
          <w:color w:val="FFFFFF"/>
          <w:spacing w:val="-4"/>
          <w:w w:val="105"/>
        </w:rPr>
        <w:t>2012</w:t>
      </w:r>
    </w:p>
    <w:p>
      <w:pPr>
        <w:pStyle w:val="BodyText"/>
        <w:spacing w:before="107"/>
      </w:pPr>
    </w:p>
    <w:p>
      <w:pPr>
        <w:pStyle w:val="BodyText"/>
        <w:ind w:left="882"/>
      </w:pPr>
      <w:r>
        <w:rPr>
          <w:color w:val="FFFFFF"/>
          <w:spacing w:val="-2"/>
          <w:w w:val="105"/>
        </w:rPr>
        <w:t>State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University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|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City,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5"/>
          <w:w w:val="105"/>
        </w:rPr>
        <w:t>ST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0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4"/>
        <w:rPr>
          <w:sz w:val="24"/>
        </w:rPr>
      </w:pPr>
    </w:p>
    <w:p>
      <w:pPr>
        <w:pStyle w:val="BodyText"/>
        <w:spacing w:line="261" w:lineRule="auto"/>
        <w:ind w:left="882" w:right="464"/>
      </w:pPr>
      <w:r>
        <w:rPr>
          <w:color w:val="FFFFFF"/>
          <w:w w:val="105"/>
        </w:rPr>
        <w:t>Appellate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brief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writing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legal </w:t>
      </w:r>
      <w:r>
        <w:rPr>
          <w:color w:val="FFFFFF"/>
          <w:spacing w:val="-2"/>
          <w:w w:val="105"/>
        </w:rPr>
        <w:t>research</w:t>
      </w:r>
    </w:p>
    <w:p>
      <w:pPr>
        <w:pStyle w:val="BodyText"/>
        <w:spacing w:line="261" w:lineRule="auto" w:before="104"/>
        <w:ind w:left="882"/>
      </w:pPr>
      <w:r>
        <w:rPr>
          <w:color w:val="FFFFFF"/>
          <w:spacing w:val="-2"/>
          <w:w w:val="105"/>
        </w:rPr>
        <w:t>Oral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argument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preparation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 delivery</w:t>
      </w:r>
    </w:p>
    <w:p>
      <w:pPr>
        <w:pStyle w:val="BodyText"/>
        <w:spacing w:line="261" w:lineRule="auto" w:before="89"/>
        <w:ind w:left="882" w:right="882"/>
      </w:pPr>
      <w:r>
        <w:rPr>
          <w:color w:val="FFFFFF"/>
          <w:spacing w:val="-2"/>
          <w:w w:val="105"/>
        </w:rPr>
        <w:t>Record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review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issue identiﬁcation</w:t>
      </w:r>
    </w:p>
    <w:p>
      <w:pPr>
        <w:pStyle w:val="BodyText"/>
        <w:spacing w:line="261" w:lineRule="auto" w:before="88"/>
        <w:ind w:left="882"/>
      </w:pPr>
      <w:r>
        <w:rPr>
          <w:color w:val="FFFFFF"/>
          <w:spacing w:val="-2"/>
          <w:w w:val="105"/>
        </w:rPr>
        <w:t>Constitutional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administrative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law analysis</w:t>
      </w:r>
    </w:p>
    <w:p>
      <w:pPr>
        <w:pStyle w:val="BodyText"/>
        <w:spacing w:line="364" w:lineRule="auto" w:before="89"/>
        <w:ind w:left="882"/>
      </w:pPr>
      <w:r>
        <w:rPr>
          <w:color w:val="FFFFFF"/>
          <w:w w:val="105"/>
        </w:rPr>
        <w:t>Amicus curiae brief coordination </w:t>
      </w:r>
      <w:r>
        <w:rPr>
          <w:color w:val="FFFFFF"/>
          <w:spacing w:val="-2"/>
          <w:w w:val="105"/>
        </w:rPr>
        <w:t>Judicial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opinion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analysis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citation</w:t>
      </w:r>
    </w:p>
    <w:p>
      <w:pPr>
        <w:pStyle w:val="BodyText"/>
        <w:spacing w:line="261" w:lineRule="auto" w:before="16"/>
        <w:ind w:left="882"/>
      </w:pPr>
      <w:r>
        <w:rPr>
          <w:color w:val="FFFFFF"/>
          <w:spacing w:val="-2"/>
          <w:w w:val="105"/>
        </w:rPr>
        <w:t>Habeas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corpus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post-conviction practice</w:t>
      </w:r>
    </w:p>
    <w:p>
      <w:pPr>
        <w:pStyle w:val="BodyText"/>
        <w:spacing w:before="89"/>
        <w:ind w:left="882"/>
      </w:pPr>
      <w:r>
        <w:rPr>
          <w:color w:val="FFFFFF"/>
        </w:rPr>
        <w:t>Certiorari</w:t>
      </w:r>
      <w:r>
        <w:rPr>
          <w:color w:val="FFFFFF"/>
          <w:spacing w:val="12"/>
        </w:rPr>
        <w:t> </w:t>
      </w:r>
      <w:r>
        <w:rPr>
          <w:color w:val="FFFFFF"/>
        </w:rPr>
        <w:t>petition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drafting</w:t>
      </w:r>
    </w:p>
    <w:p>
      <w:pPr>
        <w:pStyle w:val="BodyText"/>
        <w:spacing w:line="261" w:lineRule="auto" w:before="108"/>
        <w:ind w:left="882"/>
      </w:pPr>
      <w:r>
        <w:rPr>
          <w:color w:val="FFFFFF"/>
          <w:spacing w:val="-2"/>
          <w:w w:val="105"/>
        </w:rPr>
        <w:t>Appellate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strategy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case evaluation</w:t>
      </w:r>
    </w:p>
    <w:p>
      <w:pPr>
        <w:pStyle w:val="BodyText"/>
        <w:tabs>
          <w:tab w:pos="715" w:val="left" w:leader="none"/>
        </w:tabs>
        <w:spacing w:line="261" w:lineRule="auto" w:before="168"/>
        <w:ind w:left="715" w:right="566" w:hanging="298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Drafted</w:t>
      </w:r>
      <w:r>
        <w:rPr>
          <w:spacing w:val="-13"/>
          <w:w w:val="105"/>
        </w:rPr>
        <w:t> </w:t>
      </w:r>
      <w:r>
        <w:rPr>
          <w:w w:val="105"/>
        </w:rPr>
        <w:t>40+</w:t>
      </w:r>
      <w:r>
        <w:rPr>
          <w:spacing w:val="-13"/>
          <w:w w:val="105"/>
        </w:rPr>
        <w:t> </w:t>
      </w:r>
      <w:r>
        <w:rPr>
          <w:w w:val="105"/>
        </w:rPr>
        <w:t>merits</w:t>
      </w:r>
      <w:r>
        <w:rPr>
          <w:spacing w:val="-13"/>
          <w:w w:val="105"/>
        </w:rPr>
        <w:t> </w:t>
      </w:r>
      <w:r>
        <w:rPr>
          <w:w w:val="105"/>
        </w:rPr>
        <w:t>briefs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reply</w:t>
      </w:r>
      <w:r>
        <w:rPr>
          <w:spacing w:val="-13"/>
          <w:w w:val="105"/>
        </w:rPr>
        <w:t> </w:t>
      </w:r>
      <w:r>
        <w:rPr>
          <w:w w:val="105"/>
        </w:rPr>
        <w:t>briefs</w:t>
      </w:r>
      <w:r>
        <w:rPr>
          <w:spacing w:val="-13"/>
          <w:w w:val="105"/>
        </w:rPr>
        <w:t> </w:t>
      </w:r>
      <w:r>
        <w:rPr>
          <w:w w:val="105"/>
        </w:rPr>
        <w:t>achieving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60%</w:t>
      </w:r>
      <w:r>
        <w:rPr>
          <w:spacing w:val="-13"/>
          <w:w w:val="105"/>
        </w:rPr>
        <w:t> </w:t>
      </w:r>
      <w:r>
        <w:rPr>
          <w:w w:val="105"/>
        </w:rPr>
        <w:t>reversal</w:t>
      </w:r>
      <w:r>
        <w:rPr>
          <w:spacing w:val="-13"/>
          <w:w w:val="105"/>
        </w:rPr>
        <w:t> </w:t>
      </w:r>
      <w:r>
        <w:rPr>
          <w:w w:val="105"/>
        </w:rPr>
        <w:t>rate on behalf of clients, well above the national average for contested appeals across state and federal circuits</w:t>
      </w:r>
    </w:p>
    <w:p>
      <w:pPr>
        <w:pStyle w:val="BodyText"/>
        <w:tabs>
          <w:tab w:pos="715" w:val="left" w:leader="none"/>
        </w:tabs>
        <w:spacing w:line="261" w:lineRule="auto" w:before="88"/>
        <w:ind w:left="715" w:right="983" w:hanging="298"/>
        <w:jc w:val="both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Presented</w:t>
      </w:r>
      <w:r>
        <w:rPr>
          <w:spacing w:val="-14"/>
          <w:w w:val="105"/>
        </w:rPr>
        <w:t> </w:t>
      </w:r>
      <w:r>
        <w:rPr>
          <w:w w:val="105"/>
        </w:rPr>
        <w:t>15</w:t>
      </w:r>
      <w:r>
        <w:rPr>
          <w:spacing w:val="-13"/>
          <w:w w:val="105"/>
        </w:rPr>
        <w:t> </w:t>
      </w:r>
      <w:r>
        <w:rPr>
          <w:w w:val="105"/>
        </w:rPr>
        <w:t>oral</w:t>
      </w:r>
      <w:r>
        <w:rPr>
          <w:spacing w:val="-13"/>
          <w:w w:val="105"/>
        </w:rPr>
        <w:t> </w:t>
      </w:r>
      <w:r>
        <w:rPr>
          <w:w w:val="105"/>
        </w:rPr>
        <w:t>arguments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state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federal</w:t>
      </w:r>
      <w:r>
        <w:rPr>
          <w:spacing w:val="-14"/>
          <w:w w:val="105"/>
        </w:rPr>
        <w:t> </w:t>
      </w:r>
      <w:r>
        <w:rPr>
          <w:w w:val="105"/>
        </w:rPr>
        <w:t>appellate</w:t>
      </w:r>
      <w:r>
        <w:rPr>
          <w:spacing w:val="-13"/>
          <w:w w:val="105"/>
        </w:rPr>
        <w:t> </w:t>
      </w:r>
      <w:r>
        <w:rPr>
          <w:w w:val="105"/>
        </w:rPr>
        <w:t>courts, securing</w:t>
      </w:r>
      <w:r>
        <w:rPr>
          <w:spacing w:val="-11"/>
          <w:w w:val="105"/>
        </w:rPr>
        <w:t> </w:t>
      </w:r>
      <w:r>
        <w:rPr>
          <w:w w:val="105"/>
        </w:rPr>
        <w:t>favorable</w:t>
      </w:r>
      <w:r>
        <w:rPr>
          <w:spacing w:val="-11"/>
          <w:w w:val="105"/>
        </w:rPr>
        <w:t> </w:t>
      </w:r>
      <w:r>
        <w:rPr>
          <w:w w:val="105"/>
        </w:rPr>
        <w:t>rulings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8</w:t>
      </w:r>
      <w:r>
        <w:rPr>
          <w:spacing w:val="-11"/>
          <w:w w:val="105"/>
        </w:rPr>
        <w:t> </w:t>
      </w:r>
      <w:r>
        <w:rPr>
          <w:w w:val="105"/>
        </w:rPr>
        <w:t>cases</w:t>
      </w:r>
      <w:r>
        <w:rPr>
          <w:spacing w:val="-11"/>
          <w:w w:val="105"/>
        </w:rPr>
        <w:t> </w:t>
      </w:r>
      <w:r>
        <w:rPr>
          <w:w w:val="105"/>
        </w:rPr>
        <w:t>including</w:t>
      </w:r>
      <w:r>
        <w:rPr>
          <w:spacing w:val="-11"/>
          <w:w w:val="105"/>
        </w:rPr>
        <w:t> </w:t>
      </w:r>
      <w:r>
        <w:rPr>
          <w:w w:val="105"/>
        </w:rPr>
        <w:t>3</w:t>
      </w:r>
      <w:r>
        <w:rPr>
          <w:spacing w:val="-11"/>
          <w:w w:val="105"/>
        </w:rPr>
        <w:t> </w:t>
      </w:r>
      <w:r>
        <w:rPr>
          <w:w w:val="105"/>
        </w:rPr>
        <w:t>constitutional</w:t>
      </w:r>
      <w:r>
        <w:rPr>
          <w:spacing w:val="-11"/>
          <w:w w:val="105"/>
        </w:rPr>
        <w:t> </w:t>
      </w:r>
      <w:r>
        <w:rPr>
          <w:w w:val="105"/>
        </w:rPr>
        <w:t>law decisions adopted as circuit precedent</w:t>
      </w:r>
    </w:p>
    <w:p>
      <w:pPr>
        <w:pStyle w:val="BodyText"/>
        <w:tabs>
          <w:tab w:pos="715" w:val="left" w:leader="none"/>
        </w:tabs>
        <w:spacing w:line="261" w:lineRule="auto" w:before="103"/>
        <w:ind w:left="715" w:right="605" w:hanging="298"/>
        <w:jc w:val="both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Managed</w:t>
      </w:r>
      <w:r>
        <w:rPr>
          <w:spacing w:val="-11"/>
          <w:w w:val="105"/>
        </w:rPr>
        <w:t> </w:t>
      </w:r>
      <w:r>
        <w:rPr>
          <w:w w:val="105"/>
        </w:rPr>
        <w:t>record</w:t>
      </w:r>
      <w:r>
        <w:rPr>
          <w:spacing w:val="-11"/>
          <w:w w:val="105"/>
        </w:rPr>
        <w:t> </w:t>
      </w:r>
      <w:r>
        <w:rPr>
          <w:w w:val="105"/>
        </w:rPr>
        <w:t>excerpts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coordinated</w:t>
      </w:r>
      <w:r>
        <w:rPr>
          <w:spacing w:val="-11"/>
          <w:w w:val="105"/>
        </w:rPr>
        <w:t> </w:t>
      </w:r>
      <w:r>
        <w:rPr>
          <w:w w:val="105"/>
        </w:rPr>
        <w:t>with</w:t>
      </w:r>
      <w:r>
        <w:rPr>
          <w:spacing w:val="-11"/>
          <w:w w:val="105"/>
        </w:rPr>
        <w:t> </w:t>
      </w:r>
      <w:r>
        <w:rPr>
          <w:w w:val="105"/>
        </w:rPr>
        <w:t>trial</w:t>
      </w:r>
      <w:r>
        <w:rPr>
          <w:spacing w:val="-11"/>
          <w:w w:val="105"/>
        </w:rPr>
        <w:t> </w:t>
      </w:r>
      <w:r>
        <w:rPr>
          <w:w w:val="105"/>
        </w:rPr>
        <w:t>counsel</w:t>
      </w:r>
      <w:r>
        <w:rPr>
          <w:spacing w:val="-11"/>
          <w:w w:val="105"/>
        </w:rPr>
        <w:t> </w:t>
      </w:r>
      <w:r>
        <w:rPr>
          <w:w w:val="105"/>
        </w:rPr>
        <w:t>on</w:t>
      </w:r>
      <w:r>
        <w:rPr>
          <w:spacing w:val="-11"/>
          <w:w w:val="105"/>
        </w:rPr>
        <w:t> </w:t>
      </w:r>
      <w:r>
        <w:rPr>
          <w:w w:val="105"/>
        </w:rPr>
        <w:t>appeal </w:t>
      </w:r>
      <w:r>
        <w:rPr>
          <w:spacing w:val="-2"/>
          <w:w w:val="105"/>
        </w:rPr>
        <w:t>strategy,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cutting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brieﬁng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preparation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time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25%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through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standardized </w:t>
      </w:r>
      <w:r>
        <w:rPr>
          <w:w w:val="105"/>
        </w:rPr>
        <w:t>joint appendix workﬂows</w:t>
      </w:r>
    </w:p>
    <w:p>
      <w:pPr>
        <w:pStyle w:val="BodyText"/>
        <w:tabs>
          <w:tab w:pos="715" w:val="left" w:leader="none"/>
        </w:tabs>
        <w:spacing w:line="261" w:lineRule="auto" w:before="88"/>
        <w:ind w:left="715" w:right="591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Supervised 2 associates on research assignments for complex constitutional</w:t>
      </w:r>
      <w:r>
        <w:rPr>
          <w:spacing w:val="-14"/>
          <w:w w:val="105"/>
        </w:rPr>
        <w:t> </w:t>
      </w:r>
      <w:r>
        <w:rPr>
          <w:w w:val="105"/>
        </w:rPr>
        <w:t>appeals,</w:t>
      </w:r>
      <w:r>
        <w:rPr>
          <w:spacing w:val="-13"/>
          <w:w w:val="105"/>
        </w:rPr>
        <w:t> </w:t>
      </w:r>
      <w:r>
        <w:rPr>
          <w:w w:val="105"/>
        </w:rPr>
        <w:t>reviewing</w:t>
      </w:r>
      <w:r>
        <w:rPr>
          <w:spacing w:val="-13"/>
          <w:w w:val="105"/>
        </w:rPr>
        <w:t> </w:t>
      </w:r>
      <w:r>
        <w:rPr>
          <w:w w:val="105"/>
        </w:rPr>
        <w:t>all</w:t>
      </w:r>
      <w:r>
        <w:rPr>
          <w:spacing w:val="-13"/>
          <w:w w:val="105"/>
        </w:rPr>
        <w:t> </w:t>
      </w:r>
      <w:r>
        <w:rPr>
          <w:w w:val="105"/>
        </w:rPr>
        <w:t>draft</w:t>
      </w:r>
      <w:r>
        <w:rPr>
          <w:spacing w:val="-13"/>
          <w:w w:val="105"/>
        </w:rPr>
        <w:t> </w:t>
      </w:r>
      <w:r>
        <w:rPr>
          <w:w w:val="105"/>
        </w:rPr>
        <w:t>sections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ensuring</w:t>
      </w:r>
      <w:r>
        <w:rPr>
          <w:spacing w:val="-14"/>
          <w:w w:val="105"/>
        </w:rPr>
        <w:t> </w:t>
      </w:r>
      <w:r>
        <w:rPr>
          <w:w w:val="105"/>
        </w:rPr>
        <w:t>citation accuracy before ﬁling</w:t>
      </w:r>
    </w:p>
    <w:p>
      <w:pPr>
        <w:pStyle w:val="BodyText"/>
        <w:tabs>
          <w:tab w:pos="715" w:val="left" w:leader="none"/>
        </w:tabs>
        <w:spacing w:line="261" w:lineRule="auto" w:before="89"/>
        <w:ind w:left="715" w:right="416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Advised trial counsel on appellate preservation issues during active litigation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10</w:t>
      </w:r>
      <w:r>
        <w:rPr>
          <w:spacing w:val="-13"/>
          <w:w w:val="105"/>
        </w:rPr>
        <w:t> </w:t>
      </w:r>
      <w:r>
        <w:rPr>
          <w:w w:val="105"/>
        </w:rPr>
        <w:t>matters,</w:t>
      </w:r>
      <w:r>
        <w:rPr>
          <w:spacing w:val="-13"/>
          <w:w w:val="105"/>
        </w:rPr>
        <w:t> </w:t>
      </w:r>
      <w:r>
        <w:rPr>
          <w:w w:val="105"/>
        </w:rPr>
        <w:t>identifying</w:t>
      </w:r>
      <w:r>
        <w:rPr>
          <w:spacing w:val="-13"/>
          <w:w w:val="105"/>
        </w:rPr>
        <w:t> </w:t>
      </w:r>
      <w:r>
        <w:rPr>
          <w:w w:val="105"/>
        </w:rPr>
        <w:t>reversible</w:t>
      </w:r>
      <w:r>
        <w:rPr>
          <w:spacing w:val="-13"/>
          <w:w w:val="105"/>
        </w:rPr>
        <w:t> </w:t>
      </w:r>
      <w:r>
        <w:rPr>
          <w:w w:val="105"/>
        </w:rPr>
        <w:t>error</w:t>
      </w:r>
      <w:r>
        <w:rPr>
          <w:spacing w:val="-13"/>
          <w:w w:val="105"/>
        </w:rPr>
        <w:t> </w:t>
      </w:r>
      <w:r>
        <w:rPr>
          <w:w w:val="105"/>
        </w:rPr>
        <w:t>early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adjusting</w:t>
      </w:r>
      <w:r>
        <w:rPr>
          <w:spacing w:val="-13"/>
          <w:w w:val="105"/>
        </w:rPr>
        <w:t> </w:t>
      </w:r>
      <w:r>
        <w:rPr>
          <w:w w:val="105"/>
        </w:rPr>
        <w:t>trial strategy accordingly</w:t>
      </w:r>
    </w:p>
    <w:p>
      <w:pPr>
        <w:pStyle w:val="BodyText"/>
        <w:tabs>
          <w:tab w:pos="715" w:val="left" w:leader="none"/>
        </w:tabs>
        <w:spacing w:line="261" w:lineRule="auto" w:before="88"/>
        <w:ind w:left="715" w:right="705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spacing w:val="-2"/>
          <w:w w:val="105"/>
        </w:rPr>
        <w:t>Developed a brief-writing template library adopted ﬁrm-wide, reducing </w:t>
      </w:r>
      <w:r>
        <w:rPr>
          <w:w w:val="105"/>
        </w:rPr>
        <w:t>ﬁrst-draft completion time by 20% across all appellate matters</w:t>
      </w:r>
    </w:p>
    <w:p>
      <w:pPr>
        <w:pStyle w:val="BodyText"/>
        <w:spacing w:before="1"/>
      </w:pPr>
    </w:p>
    <w:p>
      <w:pPr>
        <w:pStyle w:val="BodyText"/>
        <w:spacing w:line="261" w:lineRule="auto" w:before="1"/>
        <w:ind w:left="139" w:right="2106"/>
      </w:pPr>
      <w:r>
        <w:rPr>
          <w:w w:val="105"/>
        </w:rPr>
        <w:t>Associate,</w:t>
      </w:r>
      <w:r>
        <w:rPr>
          <w:spacing w:val="-14"/>
          <w:w w:val="105"/>
        </w:rPr>
        <w:t> </w:t>
      </w:r>
      <w:r>
        <w:rPr>
          <w:w w:val="105"/>
        </w:rPr>
        <w:t>Appellate</w:t>
      </w:r>
      <w:r>
        <w:rPr>
          <w:spacing w:val="-13"/>
          <w:w w:val="105"/>
        </w:rPr>
        <w:t> </w:t>
      </w:r>
      <w:r>
        <w:rPr>
          <w:w w:val="105"/>
        </w:rPr>
        <w:t>Division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May</w:t>
      </w:r>
      <w:r>
        <w:rPr>
          <w:spacing w:val="-13"/>
          <w:w w:val="105"/>
        </w:rPr>
        <w:t> </w:t>
      </w:r>
      <w:r>
        <w:rPr>
          <w:w w:val="105"/>
        </w:rPr>
        <w:t>2015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May</w:t>
      </w:r>
      <w:r>
        <w:rPr>
          <w:spacing w:val="-14"/>
          <w:w w:val="105"/>
        </w:rPr>
        <w:t> </w:t>
      </w:r>
      <w:r>
        <w:rPr>
          <w:w w:val="105"/>
        </w:rPr>
        <w:t>2018 BigLaw Firm LLP | City, ST</w:t>
      </w:r>
    </w:p>
    <w:p>
      <w:pPr>
        <w:pStyle w:val="BodyText"/>
        <w:spacing w:before="46"/>
      </w:pPr>
    </w:p>
    <w:p>
      <w:pPr>
        <w:pStyle w:val="BodyText"/>
        <w:tabs>
          <w:tab w:pos="715" w:val="left" w:leader="none"/>
        </w:tabs>
        <w:spacing w:line="261" w:lineRule="auto"/>
        <w:ind w:left="715" w:right="395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Researched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drafted</w:t>
      </w:r>
      <w:r>
        <w:rPr>
          <w:spacing w:val="-13"/>
          <w:w w:val="105"/>
        </w:rPr>
        <w:t> </w:t>
      </w:r>
      <w:r>
        <w:rPr>
          <w:w w:val="105"/>
        </w:rPr>
        <w:t>30</w:t>
      </w:r>
      <w:r>
        <w:rPr>
          <w:spacing w:val="-13"/>
          <w:w w:val="105"/>
        </w:rPr>
        <w:t> </w:t>
      </w:r>
      <w:r>
        <w:rPr>
          <w:w w:val="105"/>
        </w:rPr>
        <w:t>petitions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discretionary</w:t>
      </w:r>
      <w:r>
        <w:rPr>
          <w:spacing w:val="-13"/>
          <w:w w:val="105"/>
        </w:rPr>
        <w:t> </w:t>
      </w:r>
      <w:r>
        <w:rPr>
          <w:w w:val="105"/>
        </w:rPr>
        <w:t>review,</w:t>
      </w:r>
      <w:r>
        <w:rPr>
          <w:spacing w:val="-14"/>
          <w:w w:val="105"/>
        </w:rPr>
        <w:t> </w:t>
      </w:r>
      <w:r>
        <w:rPr>
          <w:w w:val="105"/>
        </w:rPr>
        <w:t>20</w:t>
      </w:r>
      <w:r>
        <w:rPr>
          <w:spacing w:val="-13"/>
          <w:w w:val="105"/>
        </w:rPr>
        <w:t> </w:t>
      </w:r>
      <w:r>
        <w:rPr>
          <w:w w:val="105"/>
        </w:rPr>
        <w:t>certiorari petitions, and persuasive amici submissions adopted in 5 cases by</w:t>
      </w:r>
      <w:r>
        <w:rPr>
          <w:w w:val="105"/>
        </w:rPr>
        <w:t> federal circuits</w:t>
      </w:r>
    </w:p>
    <w:p>
      <w:pPr>
        <w:pStyle w:val="BodyText"/>
        <w:tabs>
          <w:tab w:pos="715" w:val="left" w:leader="none"/>
        </w:tabs>
        <w:spacing w:line="261" w:lineRule="auto" w:before="88"/>
        <w:ind w:left="715" w:right="818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post-conviction</w:t>
      </w:r>
      <w:r>
        <w:rPr>
          <w:spacing w:val="-13"/>
          <w:w w:val="105"/>
        </w:rPr>
        <w:t> </w:t>
      </w:r>
      <w:r>
        <w:rPr>
          <w:w w:val="105"/>
        </w:rPr>
        <w:t>appeals</w:t>
      </w:r>
      <w:r>
        <w:rPr>
          <w:spacing w:val="-13"/>
          <w:w w:val="105"/>
        </w:rPr>
        <w:t> </w:t>
      </w:r>
      <w:r>
        <w:rPr>
          <w:w w:val="105"/>
        </w:rPr>
        <w:t>working</w:t>
      </w:r>
      <w:r>
        <w:rPr>
          <w:spacing w:val="-13"/>
          <w:w w:val="105"/>
        </w:rPr>
        <w:t> </w:t>
      </w:r>
      <w:r>
        <w:rPr>
          <w:w w:val="105"/>
        </w:rPr>
        <w:t>on</w:t>
      </w:r>
      <w:r>
        <w:rPr>
          <w:spacing w:val="-13"/>
          <w:w w:val="105"/>
        </w:rPr>
        <w:t> </w:t>
      </w:r>
      <w:r>
        <w:rPr>
          <w:w w:val="105"/>
        </w:rPr>
        <w:t>habeas</w:t>
      </w:r>
      <w:r>
        <w:rPr>
          <w:spacing w:val="-13"/>
          <w:w w:val="105"/>
        </w:rPr>
        <w:t> </w:t>
      </w:r>
      <w:r>
        <w:rPr>
          <w:w w:val="105"/>
        </w:rPr>
        <w:t>petitions</w:t>
      </w:r>
      <w:r>
        <w:rPr>
          <w:spacing w:val="-14"/>
          <w:w w:val="105"/>
        </w:rPr>
        <w:t> </w:t>
      </w:r>
      <w:r>
        <w:rPr>
          <w:w w:val="105"/>
        </w:rPr>
        <w:t>that resulted in 2 case retrials, coordinating with trial counsel and constitutional law scholars</w:t>
      </w:r>
    </w:p>
    <w:p>
      <w:pPr>
        <w:pStyle w:val="BodyText"/>
        <w:tabs>
          <w:tab w:pos="715" w:val="left" w:leader="none"/>
        </w:tabs>
        <w:spacing w:line="261" w:lineRule="auto" w:before="89"/>
        <w:ind w:left="715" w:right="498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Prepared oral argument moot sessions for senior appellate counsel, </w:t>
      </w:r>
      <w:r>
        <w:rPr>
          <w:spacing w:val="-2"/>
          <w:w w:val="105"/>
        </w:rPr>
        <w:t>researching bench questions and preparing response frameworks for 12 </w:t>
      </w:r>
      <w:r>
        <w:rPr>
          <w:w w:val="105"/>
        </w:rPr>
        <w:t>scheduled arguments</w:t>
      </w:r>
    </w:p>
    <w:p>
      <w:pPr>
        <w:pStyle w:val="BodyText"/>
        <w:tabs>
          <w:tab w:pos="715" w:val="left" w:leader="none"/>
        </w:tabs>
        <w:spacing w:line="261" w:lineRule="auto" w:before="103"/>
        <w:ind w:left="715" w:right="994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Conducted</w:t>
      </w:r>
      <w:r>
        <w:rPr>
          <w:spacing w:val="-5"/>
          <w:w w:val="105"/>
        </w:rPr>
        <w:t> </w:t>
      </w:r>
      <w:r>
        <w:rPr>
          <w:w w:val="105"/>
        </w:rPr>
        <w:t>record-below</w:t>
      </w:r>
      <w:r>
        <w:rPr>
          <w:spacing w:val="-5"/>
          <w:w w:val="105"/>
        </w:rPr>
        <w:t> </w:t>
      </w:r>
      <w:r>
        <w:rPr>
          <w:w w:val="105"/>
        </w:rPr>
        <w:t>reviews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5"/>
          <w:w w:val="105"/>
        </w:rPr>
        <w:t> </w:t>
      </w:r>
      <w:r>
        <w:rPr>
          <w:w w:val="105"/>
        </w:rPr>
        <w:t>25</w:t>
      </w:r>
      <w:r>
        <w:rPr>
          <w:spacing w:val="-5"/>
          <w:w w:val="105"/>
        </w:rPr>
        <w:t> </w:t>
      </w:r>
      <w:r>
        <w:rPr>
          <w:w w:val="105"/>
        </w:rPr>
        <w:t>appeals,</w:t>
      </w:r>
      <w:r>
        <w:rPr>
          <w:spacing w:val="-5"/>
          <w:w w:val="105"/>
        </w:rPr>
        <w:t> </w:t>
      </w:r>
      <w:r>
        <w:rPr>
          <w:w w:val="105"/>
        </w:rPr>
        <w:t>identifying</w:t>
      </w:r>
      <w:r>
        <w:rPr>
          <w:spacing w:val="-5"/>
          <w:w w:val="105"/>
        </w:rPr>
        <w:t> </w:t>
      </w:r>
      <w:r>
        <w:rPr>
          <w:w w:val="105"/>
        </w:rPr>
        <w:t>the</w:t>
      </w:r>
      <w:r>
        <w:rPr>
          <w:spacing w:val="-5"/>
          <w:w w:val="105"/>
        </w:rPr>
        <w:t> </w:t>
      </w:r>
      <w:r>
        <w:rPr>
          <w:w w:val="105"/>
        </w:rPr>
        <w:t>3 </w:t>
      </w:r>
      <w:r>
        <w:rPr>
          <w:spacing w:val="-2"/>
          <w:w w:val="105"/>
        </w:rPr>
        <w:t>strongest preserved issues per matter and drafting issue-selection </w:t>
      </w:r>
      <w:r>
        <w:rPr>
          <w:w w:val="105"/>
        </w:rPr>
        <w:t>memoranda for senior review</w:t>
      </w:r>
    </w:p>
    <w:sectPr>
      <w:type w:val="continuous"/>
      <w:pgSz w:w="11920" w:h="16860"/>
      <w:pgMar w:top="0" w:bottom="0" w:left="141" w:right="0"/>
      <w:cols w:num="2" w:equalWidth="0">
        <w:col w:w="3940" w:space="691"/>
        <w:col w:w="71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39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2026-03-19T15:09:52Z</dcterms:created>
  <dcterms:modified xsi:type="dcterms:W3CDTF">2026-03-19T15:09:52Z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2026-03-19T00:00:00Z</vt:filetime>
  </property>
  <property fmtid="{D5CDD505-2E9C-101B-9397-08002B2CF9AE}" pid="5" name="Producer">
    <vt:lpwstr>Skia/PDF m121</vt:lpwstr>
  </property>
</Properties>
</file>