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8"/>
        <w:ind w:left="379" w:right="0" w:firstLine="0"/>
        <w:jc w:val="left"/>
        <w:rPr>
          <w:rFonts w:ascii="Microsoft Sans Serif"/>
          <w:sz w:val="82"/>
        </w:rPr>
      </w:pPr>
      <w:r>
        <w:rPr>
          <w:b/>
          <w:color w:val="FFFFFF"/>
          <w:w w:val="105"/>
          <w:sz w:val="82"/>
        </w:rPr>
        <w:t>Pat</w:t>
      </w:r>
      <w:r>
        <w:rPr>
          <w:b/>
          <w:color w:val="FFFFFF"/>
          <w:spacing w:val="-2"/>
          <w:w w:val="105"/>
          <w:sz w:val="82"/>
        </w:rPr>
        <w:t> </w:t>
      </w:r>
      <w:r>
        <w:rPr>
          <w:rFonts w:ascii="Microsoft Sans Serif"/>
          <w:color w:val="FFFFFF"/>
          <w:spacing w:val="9"/>
          <w:w w:val="105"/>
          <w:sz w:val="82"/>
        </w:rPr>
        <w:t>Thomas</w:t>
      </w:r>
    </w:p>
    <w:p>
      <w:pPr>
        <w:pStyle w:val="Heading2"/>
      </w:pPr>
      <w:r>
        <w:rPr>
          <w:color w:val="FFFFFF"/>
        </w:rPr>
        <w:t>DoD</w:t>
      </w:r>
      <w:r>
        <w:rPr>
          <w:color w:val="FFFFFF"/>
          <w:spacing w:val="11"/>
        </w:rPr>
        <w:t> </w:t>
      </w:r>
      <w:r>
        <w:rPr>
          <w:color w:val="FFFFFF"/>
        </w:rPr>
        <w:t>Budget</w:t>
      </w:r>
      <w:r>
        <w:rPr>
          <w:color w:val="FFFFFF"/>
          <w:spacing w:val="12"/>
        </w:rPr>
        <w:t> </w:t>
      </w:r>
      <w:r>
        <w:rPr>
          <w:color w:val="FFFFFF"/>
          <w:spacing w:val="-2"/>
        </w:rPr>
        <w:t>Analyst</w:t>
      </w:r>
    </w:p>
    <w:p>
      <w:pPr>
        <w:spacing w:line="273" w:lineRule="auto" w:before="179"/>
        <w:ind w:left="379" w:right="315" w:firstLine="0"/>
        <w:jc w:val="left"/>
        <w:rPr>
          <w:sz w:val="16"/>
        </w:rPr>
      </w:pPr>
      <w:r>
        <w:rPr>
          <w:color w:val="FFFFFF"/>
          <w:w w:val="105"/>
          <w:sz w:val="16"/>
        </w:rPr>
        <w:t>DoD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budget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analyst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7+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supporting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Department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Defense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financial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operations,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execution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tracking,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compliance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with Defense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Finance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Accounting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Service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(DFAS)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procedures.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Manages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$108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million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operating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budget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for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Army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G-3,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achieved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100%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audit compliance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FY22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FY23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reviews,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reconciled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budget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line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items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across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4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major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appropriations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at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Defense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Health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Agency.</w:t>
      </w:r>
    </w:p>
    <w:p>
      <w:pPr>
        <w:spacing w:line="273" w:lineRule="auto" w:before="0"/>
        <w:ind w:left="379" w:right="315" w:firstLine="0"/>
        <w:jc w:val="left"/>
        <w:rPr>
          <w:sz w:val="16"/>
        </w:rPr>
      </w:pPr>
      <w:r>
        <w:rPr>
          <w:color w:val="FFFFFF"/>
          <w:w w:val="105"/>
          <w:sz w:val="16"/>
        </w:rPr>
        <w:t>Specializes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reprogramming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requests,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financial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data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integrity,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monthly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fund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discrepancy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resolution.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B.S.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Financial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Management with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deep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knowledge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DoD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accounting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standards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DFAS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compliance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requirements.</w:t>
      </w:r>
    </w:p>
    <w:p>
      <w:pPr>
        <w:pStyle w:val="BodyText"/>
        <w:ind w:left="0" w:firstLine="0"/>
      </w:pPr>
    </w:p>
    <w:p>
      <w:pPr>
        <w:pStyle w:val="BodyText"/>
        <w:ind w:left="0" w:firstLine="0"/>
      </w:pPr>
    </w:p>
    <w:p>
      <w:pPr>
        <w:pStyle w:val="BodyText"/>
        <w:ind w:left="0" w:firstLine="0"/>
      </w:pPr>
    </w:p>
    <w:p>
      <w:pPr>
        <w:pStyle w:val="BodyText"/>
        <w:spacing w:before="173"/>
        <w:ind w:left="0" w:firstLine="0"/>
      </w:pPr>
    </w:p>
    <w:p>
      <w:pPr>
        <w:pStyle w:val="BodyText"/>
        <w:spacing w:after="0"/>
        <w:sectPr>
          <w:type w:val="continuous"/>
          <w:pgSz w:w="11920" w:h="16860"/>
          <w:pgMar w:top="780" w:bottom="280" w:left="141" w:right="283"/>
        </w:sectPr>
      </w:pPr>
    </w:p>
    <w:p>
      <w:pPr>
        <w:spacing w:before="74"/>
        <w:ind w:left="807" w:right="0" w:firstLine="0"/>
        <w:jc w:val="left"/>
        <w:rPr>
          <w:sz w:val="18"/>
        </w:rPr>
      </w:pPr>
      <w:r>
        <w:rPr>
          <w:sz w:val="18"/>
        </w:rPr>
        <w:t>Arlington,</w:t>
      </w:r>
      <w:r>
        <w:rPr>
          <w:spacing w:val="4"/>
          <w:sz w:val="18"/>
        </w:rPr>
        <w:t> </w:t>
      </w:r>
      <w:r>
        <w:rPr>
          <w:sz w:val="18"/>
        </w:rPr>
        <w:t>VA</w:t>
      </w:r>
      <w:r>
        <w:rPr>
          <w:spacing w:val="4"/>
          <w:sz w:val="18"/>
        </w:rPr>
        <w:t> </w:t>
      </w:r>
      <w:r>
        <w:rPr>
          <w:spacing w:val="-2"/>
          <w:sz w:val="18"/>
        </w:rPr>
        <w:t>22201</w:t>
      </w:r>
    </w:p>
    <w:p>
      <w:pPr>
        <w:pStyle w:val="BodyText"/>
        <w:ind w:left="0" w:firstLine="0"/>
        <w:rPr>
          <w:sz w:val="18"/>
        </w:rPr>
      </w:pPr>
    </w:p>
    <w:p>
      <w:pPr>
        <w:pStyle w:val="BodyText"/>
        <w:spacing w:before="24"/>
        <w:ind w:left="0" w:firstLine="0"/>
        <w:rPr>
          <w:sz w:val="18"/>
        </w:rPr>
      </w:pPr>
    </w:p>
    <w:p>
      <w:pPr>
        <w:spacing w:before="0"/>
        <w:ind w:left="807" w:right="0" w:firstLine="0"/>
        <w:jc w:val="left"/>
        <w:rPr>
          <w:sz w:val="18"/>
        </w:rPr>
      </w:pPr>
      <w:r>
        <w:rPr>
          <w:sz w:val="18"/>
        </w:rPr>
        <w:t>(555)</w:t>
      </w:r>
      <w:r>
        <w:rPr>
          <w:spacing w:val="16"/>
          <w:sz w:val="18"/>
        </w:rPr>
        <w:t> </w:t>
      </w:r>
      <w:r>
        <w:rPr>
          <w:sz w:val="18"/>
        </w:rPr>
        <w:t>000-</w:t>
      </w:r>
      <w:r>
        <w:rPr>
          <w:spacing w:val="-4"/>
          <w:sz w:val="18"/>
        </w:rPr>
        <w:t>0000</w:t>
      </w:r>
    </w:p>
    <w:p>
      <w:pPr>
        <w:pStyle w:val="BodyText"/>
        <w:spacing w:before="201"/>
        <w:ind w:left="0" w:firstLine="0"/>
        <w:rPr>
          <w:sz w:val="18"/>
        </w:rPr>
      </w:pPr>
    </w:p>
    <w:p>
      <w:pPr>
        <w:spacing w:before="0"/>
        <w:ind w:left="807" w:right="0" w:firstLine="0"/>
        <w:jc w:val="left"/>
        <w:rPr>
          <w:sz w:val="18"/>
        </w:rPr>
      </w:pPr>
      <w:hyperlink r:id="rId5">
        <w:r>
          <w:rPr>
            <w:spacing w:val="-2"/>
            <w:w w:val="105"/>
            <w:sz w:val="18"/>
          </w:rPr>
          <w:t>email@example.com</w:t>
        </w:r>
      </w:hyperlink>
    </w:p>
    <w:p>
      <w:pPr>
        <w:pStyle w:val="Heading1"/>
        <w:spacing w:before="252"/>
        <w:ind w:left="993"/>
      </w:pPr>
      <w:r>
        <w:rPr>
          <w:b w:val="0"/>
        </w:rPr>
        <w:br w:type="column"/>
      </w:r>
      <w:r>
        <w:rPr>
          <w:color w:val="FFFFFF"/>
          <w:spacing w:val="-7"/>
        </w:rPr>
        <w:t>PROFESSIONAL</w:t>
      </w:r>
      <w:r>
        <w:rPr>
          <w:color w:val="FFFFFF"/>
          <w:spacing w:val="1"/>
        </w:rPr>
        <w:t> </w:t>
      </w:r>
      <w:r>
        <w:rPr>
          <w:color w:val="FFFFFF"/>
          <w:spacing w:val="-2"/>
        </w:rPr>
        <w:t>EXPERIENCE</w:t>
      </w:r>
    </w:p>
    <w:p>
      <w:pPr>
        <w:spacing w:line="264" w:lineRule="auto" w:before="229"/>
        <w:ind w:left="807" w:right="0" w:firstLine="0"/>
        <w:jc w:val="left"/>
        <w:rPr>
          <w:b/>
          <w:sz w:val="20"/>
        </w:rPr>
      </w:pPr>
      <w:r>
        <w:rPr>
          <w:b/>
          <w:sz w:val="20"/>
        </w:rPr>
        <w:t>BUDGET</w:t>
      </w:r>
      <w:r>
        <w:rPr>
          <w:b/>
          <w:spacing w:val="-4"/>
          <w:sz w:val="20"/>
        </w:rPr>
        <w:t> </w:t>
      </w:r>
      <w:r>
        <w:rPr>
          <w:b/>
          <w:sz w:val="20"/>
        </w:rPr>
        <w:t>ANALYST (CIVILIAN) </w:t>
      </w:r>
      <w:r>
        <w:rPr>
          <w:position w:val="3"/>
          <w:sz w:val="20"/>
        </w:rPr>
        <w:t>| </w:t>
      </w:r>
      <w:r>
        <w:rPr>
          <w:b/>
          <w:sz w:val="20"/>
        </w:rPr>
        <w:t>DEPARTMENT OF THE</w:t>
      </w:r>
      <w:r>
        <w:rPr>
          <w:b/>
          <w:spacing w:val="-4"/>
          <w:sz w:val="20"/>
        </w:rPr>
        <w:t> </w:t>
      </w:r>
      <w:r>
        <w:rPr>
          <w:b/>
          <w:sz w:val="20"/>
        </w:rPr>
        <w:t>ARMY, PENTAGON, ARLINGTON, VA</w:t>
      </w:r>
    </w:p>
    <w:p>
      <w:pPr>
        <w:pStyle w:val="BodyText"/>
        <w:spacing w:before="2"/>
        <w:ind w:left="807" w:firstLine="0"/>
      </w:pPr>
      <w:r>
        <w:rPr/>
        <w:t>JUNE</w:t>
      </w:r>
      <w:r>
        <w:rPr>
          <w:spacing w:val="-2"/>
        </w:rPr>
        <w:t> </w:t>
      </w:r>
      <w:r>
        <w:rPr/>
        <w:t>2020</w:t>
      </w:r>
      <w:r>
        <w:rPr>
          <w:spacing w:val="-2"/>
        </w:rPr>
        <w:t> </w:t>
      </w:r>
      <w:r>
        <w:rPr/>
        <w:t>–</w:t>
      </w:r>
      <w:r>
        <w:rPr>
          <w:spacing w:val="-2"/>
        </w:rPr>
        <w:t> PRESENT</w:t>
      </w:r>
    </w:p>
    <w:p>
      <w:pPr>
        <w:pStyle w:val="BodyText"/>
        <w:spacing w:after="0"/>
        <w:sectPr>
          <w:type w:val="continuous"/>
          <w:pgSz w:w="11920" w:h="16860"/>
          <w:pgMar w:top="780" w:bottom="280" w:left="141" w:right="283"/>
          <w:cols w:num="2" w:equalWidth="0">
            <w:col w:w="2567" w:space="651"/>
            <w:col w:w="8278"/>
          </w:cols>
        </w:sectPr>
      </w:pPr>
    </w:p>
    <w:p>
      <w:pPr>
        <w:pStyle w:val="BodyText"/>
        <w:ind w:left="0" w:firstLine="0"/>
        <w:rPr>
          <w:sz w:val="11"/>
        </w:rPr>
      </w:pPr>
    </w:p>
    <w:p>
      <w:pPr>
        <w:pStyle w:val="BodyText"/>
        <w:spacing w:after="0"/>
        <w:rPr>
          <w:sz w:val="11"/>
        </w:rPr>
        <w:sectPr>
          <w:type w:val="continuous"/>
          <w:pgSz w:w="11920" w:h="16860"/>
          <w:pgMar w:top="780" w:bottom="280" w:left="141" w:right="283"/>
        </w:sectPr>
      </w:pPr>
    </w:p>
    <w:p>
      <w:pPr>
        <w:pStyle w:val="BodyText"/>
        <w:spacing w:before="10"/>
        <w:ind w:left="0" w:firstLine="0"/>
        <w:rPr>
          <w:sz w:val="18"/>
        </w:rPr>
      </w:pPr>
    </w:p>
    <w:p>
      <w:pPr>
        <w:spacing w:before="0"/>
        <w:ind w:left="807" w:right="0" w:firstLine="0"/>
        <w:jc w:val="left"/>
        <w:rPr>
          <w:sz w:val="18"/>
        </w:rPr>
      </w:pPr>
      <w:r>
        <w:rPr>
          <w:spacing w:val="-2"/>
          <w:w w:val="105"/>
          <w:sz w:val="18"/>
        </w:rPr>
        <w:t>LinkedIn</w:t>
      </w:r>
    </w:p>
    <w:p>
      <w:pPr>
        <w:pStyle w:val="BodyText"/>
        <w:ind w:left="0" w:firstLine="0"/>
        <w:rPr>
          <w:sz w:val="18"/>
        </w:rPr>
      </w:pPr>
    </w:p>
    <w:p>
      <w:pPr>
        <w:pStyle w:val="BodyText"/>
        <w:spacing w:before="7"/>
        <w:ind w:left="0" w:firstLine="0"/>
        <w:rPr>
          <w:sz w:val="18"/>
        </w:rPr>
      </w:pPr>
    </w:p>
    <w:p>
      <w:pPr>
        <w:pStyle w:val="Heading1"/>
        <w:ind w:left="44"/>
      </w:pPr>
      <w:r>
        <w:rPr>
          <w:color w:val="FFFFFF"/>
          <w:spacing w:val="-7"/>
        </w:rPr>
        <w:t>KEY</w:t>
      </w:r>
      <w:r>
        <w:rPr>
          <w:color w:val="FFFFFF"/>
          <w:spacing w:val="-12"/>
        </w:rPr>
        <w:t> </w:t>
      </w:r>
      <w:r>
        <w:rPr>
          <w:color w:val="FFFFFF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  <w:tab w:pos="677" w:val="left" w:leader="none"/>
        </w:tabs>
        <w:spacing w:line="216" w:lineRule="auto" w:before="210" w:after="0"/>
        <w:ind w:left="677" w:right="0" w:hanging="298"/>
        <w:jc w:val="left"/>
        <w:rPr>
          <w:position w:val="-2"/>
          <w:sz w:val="31"/>
        </w:rPr>
      </w:pPr>
      <w:r>
        <w:rPr>
          <w:w w:val="105"/>
          <w:sz w:val="20"/>
        </w:rPr>
        <w:t>DoD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accounting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standards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and fund management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  <w:tab w:pos="677" w:val="left" w:leader="none"/>
        </w:tabs>
        <w:spacing w:line="216" w:lineRule="auto" w:before="87" w:after="0"/>
        <w:ind w:left="677" w:right="781" w:hanging="298"/>
        <w:jc w:val="left"/>
        <w:rPr>
          <w:position w:val="-2"/>
          <w:sz w:val="31"/>
        </w:rPr>
      </w:pPr>
      <w:r>
        <w:rPr>
          <w:w w:val="105"/>
          <w:sz w:val="20"/>
        </w:rPr>
        <w:t>DFAS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compliance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and </w:t>
      </w:r>
      <w:r>
        <w:rPr>
          <w:spacing w:val="-2"/>
          <w:w w:val="105"/>
          <w:sz w:val="20"/>
        </w:rPr>
        <w:t>transaction</w:t>
      </w:r>
      <w:r>
        <w:rPr>
          <w:spacing w:val="-10"/>
          <w:w w:val="105"/>
          <w:sz w:val="20"/>
        </w:rPr>
        <w:t> </w:t>
      </w:r>
      <w:r>
        <w:rPr>
          <w:spacing w:val="-2"/>
          <w:w w:val="105"/>
          <w:sz w:val="20"/>
        </w:rPr>
        <w:t>processing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  <w:tab w:pos="677" w:val="left" w:leader="none"/>
        </w:tabs>
        <w:spacing w:line="216" w:lineRule="auto" w:before="72" w:after="0"/>
        <w:ind w:left="677" w:right="766" w:hanging="298"/>
        <w:jc w:val="left"/>
        <w:rPr>
          <w:position w:val="-2"/>
          <w:sz w:val="31"/>
        </w:rPr>
      </w:pPr>
      <w:r>
        <w:rPr>
          <w:w w:val="105"/>
          <w:sz w:val="20"/>
        </w:rPr>
        <w:t>Execution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tracking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and obligation monitoring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  <w:tab w:pos="677" w:val="left" w:leader="none"/>
        </w:tabs>
        <w:spacing w:line="228" w:lineRule="auto" w:before="61" w:after="0"/>
        <w:ind w:left="677" w:right="127" w:hanging="298"/>
        <w:jc w:val="left"/>
        <w:rPr>
          <w:sz w:val="31"/>
        </w:rPr>
      </w:pPr>
      <w:r>
        <w:rPr>
          <w:spacing w:val="-2"/>
          <w:w w:val="105"/>
          <w:position w:val="1"/>
          <w:sz w:val="20"/>
        </w:rPr>
        <w:t>Reprogramming</w:t>
      </w:r>
      <w:r>
        <w:rPr>
          <w:spacing w:val="-13"/>
          <w:w w:val="105"/>
          <w:position w:val="1"/>
          <w:sz w:val="20"/>
        </w:rPr>
        <w:t> </w:t>
      </w:r>
      <w:r>
        <w:rPr>
          <w:spacing w:val="-2"/>
          <w:w w:val="105"/>
          <w:position w:val="1"/>
          <w:sz w:val="20"/>
        </w:rPr>
        <w:t>requests</w:t>
      </w:r>
      <w:r>
        <w:rPr>
          <w:spacing w:val="-12"/>
          <w:w w:val="105"/>
          <w:position w:val="1"/>
          <w:sz w:val="20"/>
        </w:rPr>
        <w:t> </w:t>
      </w:r>
      <w:r>
        <w:rPr>
          <w:spacing w:val="-2"/>
          <w:w w:val="105"/>
          <w:position w:val="1"/>
          <w:sz w:val="20"/>
        </w:rPr>
        <w:t>and </w:t>
      </w:r>
      <w:r>
        <w:rPr>
          <w:w w:val="105"/>
          <w:sz w:val="20"/>
        </w:rPr>
        <w:t>budget adjustments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  <w:tab w:pos="677" w:val="left" w:leader="none"/>
        </w:tabs>
        <w:spacing w:line="216" w:lineRule="auto" w:before="70" w:after="0"/>
        <w:ind w:left="677" w:right="391" w:hanging="298"/>
        <w:jc w:val="left"/>
        <w:rPr>
          <w:position w:val="-2"/>
          <w:sz w:val="31"/>
        </w:rPr>
      </w:pPr>
      <w:r>
        <w:rPr>
          <w:w w:val="105"/>
          <w:sz w:val="20"/>
        </w:rPr>
        <w:t>Financial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data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integrity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and </w:t>
      </w:r>
      <w:r>
        <w:rPr>
          <w:spacing w:val="-2"/>
          <w:w w:val="105"/>
          <w:sz w:val="20"/>
        </w:rPr>
        <w:t>reconciliation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  <w:tab w:pos="677" w:val="left" w:leader="none"/>
        </w:tabs>
        <w:spacing w:line="216" w:lineRule="auto" w:before="72" w:after="0"/>
        <w:ind w:left="677" w:right="187" w:hanging="298"/>
        <w:jc w:val="left"/>
        <w:rPr>
          <w:position w:val="-2"/>
          <w:sz w:val="31"/>
        </w:rPr>
      </w:pPr>
      <w:r>
        <w:rPr>
          <w:spacing w:val="-2"/>
          <w:w w:val="105"/>
          <w:sz w:val="20"/>
        </w:rPr>
        <w:t>Status-of-funds</w:t>
      </w:r>
      <w:r>
        <w:rPr>
          <w:spacing w:val="-11"/>
          <w:w w:val="105"/>
          <w:sz w:val="20"/>
        </w:rPr>
        <w:t> </w:t>
      </w:r>
      <w:r>
        <w:rPr>
          <w:spacing w:val="-2"/>
          <w:w w:val="105"/>
          <w:sz w:val="20"/>
        </w:rPr>
        <w:t>reporting</w:t>
      </w:r>
      <w:r>
        <w:rPr>
          <w:spacing w:val="-11"/>
          <w:w w:val="105"/>
          <w:sz w:val="20"/>
        </w:rPr>
        <w:t> </w:t>
      </w:r>
      <w:r>
        <w:rPr>
          <w:spacing w:val="-2"/>
          <w:w w:val="105"/>
          <w:sz w:val="20"/>
        </w:rPr>
        <w:t>and </w:t>
      </w:r>
      <w:r>
        <w:rPr>
          <w:w w:val="105"/>
          <w:sz w:val="20"/>
        </w:rPr>
        <w:t>leadership brieﬁngs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  <w:tab w:pos="677" w:val="left" w:leader="none"/>
        </w:tabs>
        <w:spacing w:line="216" w:lineRule="auto" w:before="87" w:after="0"/>
        <w:ind w:left="677" w:right="430" w:hanging="298"/>
        <w:jc w:val="left"/>
        <w:rPr>
          <w:position w:val="-2"/>
          <w:sz w:val="31"/>
        </w:rPr>
      </w:pPr>
      <w:r>
        <w:rPr>
          <w:w w:val="105"/>
          <w:sz w:val="20"/>
        </w:rPr>
        <w:t>Multi-appropriation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budget </w:t>
      </w:r>
      <w:r>
        <w:rPr>
          <w:spacing w:val="-2"/>
          <w:w w:val="105"/>
          <w:sz w:val="20"/>
        </w:rPr>
        <w:t>management</w:t>
      </w:r>
    </w:p>
    <w:p>
      <w:pPr>
        <w:pStyle w:val="ListParagraph"/>
        <w:numPr>
          <w:ilvl w:val="0"/>
          <w:numId w:val="1"/>
        </w:numPr>
        <w:tabs>
          <w:tab w:pos="340" w:val="left" w:leader="none"/>
          <w:tab w:pos="342" w:val="left" w:leader="none"/>
        </w:tabs>
        <w:spacing w:line="237" w:lineRule="auto" w:before="98" w:after="0"/>
        <w:ind w:left="342" w:right="294" w:hanging="298"/>
        <w:jc w:val="both"/>
        <w:rPr>
          <w:position w:val="-2"/>
          <w:sz w:val="31"/>
        </w:rPr>
      </w:pPr>
      <w:r>
        <w:rPr/>
        <w:br w:type="column"/>
      </w:r>
      <w:r>
        <w:rPr>
          <w:w w:val="105"/>
          <w:sz w:val="20"/>
        </w:rPr>
        <w:t>Manage</w:t>
      </w:r>
      <w:r>
        <w:rPr>
          <w:spacing w:val="-8"/>
          <w:w w:val="105"/>
          <w:sz w:val="20"/>
        </w:rPr>
        <w:t> </w:t>
      </w:r>
      <w:r>
        <w:rPr>
          <w:w w:val="105"/>
          <w:sz w:val="20"/>
        </w:rPr>
        <w:t>$108</w:t>
      </w:r>
      <w:r>
        <w:rPr>
          <w:spacing w:val="-8"/>
          <w:w w:val="105"/>
          <w:sz w:val="20"/>
        </w:rPr>
        <w:t> </w:t>
      </w:r>
      <w:r>
        <w:rPr>
          <w:w w:val="105"/>
          <w:sz w:val="20"/>
        </w:rPr>
        <w:t>million</w:t>
      </w:r>
      <w:r>
        <w:rPr>
          <w:spacing w:val="-8"/>
          <w:w w:val="105"/>
          <w:sz w:val="20"/>
        </w:rPr>
        <w:t> </w:t>
      </w:r>
      <w:r>
        <w:rPr>
          <w:w w:val="105"/>
          <w:sz w:val="20"/>
        </w:rPr>
        <w:t>operating</w:t>
      </w:r>
      <w:r>
        <w:rPr>
          <w:spacing w:val="-8"/>
          <w:w w:val="105"/>
          <w:sz w:val="20"/>
        </w:rPr>
        <w:t> </w:t>
      </w:r>
      <w:r>
        <w:rPr>
          <w:w w:val="105"/>
          <w:sz w:val="20"/>
        </w:rPr>
        <w:t>budget</w:t>
      </w:r>
      <w:r>
        <w:rPr>
          <w:spacing w:val="-8"/>
          <w:w w:val="105"/>
          <w:sz w:val="20"/>
        </w:rPr>
        <w:t> </w:t>
      </w:r>
      <w:r>
        <w:rPr>
          <w:w w:val="105"/>
          <w:sz w:val="20"/>
        </w:rPr>
        <w:t>for</w:t>
      </w:r>
      <w:r>
        <w:rPr>
          <w:spacing w:val="-8"/>
          <w:w w:val="105"/>
          <w:sz w:val="20"/>
        </w:rPr>
        <w:t> </w:t>
      </w:r>
      <w:r>
        <w:rPr>
          <w:w w:val="105"/>
          <w:sz w:val="20"/>
        </w:rPr>
        <w:t>Army</w:t>
      </w:r>
      <w:r>
        <w:rPr>
          <w:spacing w:val="-8"/>
          <w:w w:val="105"/>
          <w:sz w:val="20"/>
        </w:rPr>
        <w:t> </w:t>
      </w:r>
      <w:r>
        <w:rPr>
          <w:w w:val="105"/>
          <w:sz w:val="20"/>
        </w:rPr>
        <w:t>G-3</w:t>
      </w:r>
      <w:r>
        <w:rPr>
          <w:spacing w:val="-8"/>
          <w:w w:val="105"/>
          <w:sz w:val="20"/>
        </w:rPr>
        <w:t> </w:t>
      </w:r>
      <w:r>
        <w:rPr>
          <w:w w:val="105"/>
          <w:sz w:val="20"/>
        </w:rPr>
        <w:t>operations,</w:t>
      </w:r>
      <w:r>
        <w:rPr>
          <w:spacing w:val="-8"/>
          <w:w w:val="105"/>
          <w:sz w:val="20"/>
        </w:rPr>
        <w:t> </w:t>
      </w:r>
      <w:r>
        <w:rPr>
          <w:w w:val="105"/>
          <w:sz w:val="20"/>
        </w:rPr>
        <w:t>tracking obligations,</w:t>
      </w:r>
      <w:r>
        <w:rPr>
          <w:spacing w:val="-12"/>
          <w:w w:val="105"/>
          <w:sz w:val="20"/>
        </w:rPr>
        <w:t> </w:t>
      </w:r>
      <w:r>
        <w:rPr>
          <w:w w:val="105"/>
          <w:sz w:val="20"/>
        </w:rPr>
        <w:t>expenditures,</w:t>
      </w:r>
      <w:r>
        <w:rPr>
          <w:spacing w:val="-12"/>
          <w:w w:val="105"/>
          <w:sz w:val="20"/>
        </w:rPr>
        <w:t> </w:t>
      </w:r>
      <w:r>
        <w:rPr>
          <w:w w:val="105"/>
          <w:sz w:val="20"/>
        </w:rPr>
        <w:t>and</w:t>
      </w:r>
      <w:r>
        <w:rPr>
          <w:spacing w:val="-12"/>
          <w:w w:val="105"/>
          <w:sz w:val="20"/>
        </w:rPr>
        <w:t> </w:t>
      </w:r>
      <w:r>
        <w:rPr>
          <w:w w:val="105"/>
          <w:sz w:val="20"/>
        </w:rPr>
        <w:t>unliquidated</w:t>
      </w:r>
      <w:r>
        <w:rPr>
          <w:spacing w:val="-12"/>
          <w:w w:val="105"/>
          <w:sz w:val="20"/>
        </w:rPr>
        <w:t> </w:t>
      </w:r>
      <w:r>
        <w:rPr>
          <w:w w:val="105"/>
          <w:sz w:val="20"/>
        </w:rPr>
        <w:t>obligations</w:t>
      </w:r>
      <w:r>
        <w:rPr>
          <w:spacing w:val="-12"/>
          <w:w w:val="105"/>
          <w:sz w:val="20"/>
        </w:rPr>
        <w:t> </w:t>
      </w:r>
      <w:r>
        <w:rPr>
          <w:w w:val="105"/>
          <w:sz w:val="20"/>
        </w:rPr>
        <w:t>across</w:t>
      </w:r>
      <w:r>
        <w:rPr>
          <w:spacing w:val="-12"/>
          <w:w w:val="105"/>
          <w:sz w:val="20"/>
        </w:rPr>
        <w:t> </w:t>
      </w:r>
      <w:r>
        <w:rPr>
          <w:w w:val="105"/>
          <w:sz w:val="20"/>
        </w:rPr>
        <w:t>6</w:t>
      </w:r>
      <w:r>
        <w:rPr>
          <w:spacing w:val="-12"/>
          <w:w w:val="105"/>
          <w:sz w:val="20"/>
        </w:rPr>
        <w:t> </w:t>
      </w:r>
      <w:r>
        <w:rPr>
          <w:w w:val="105"/>
          <w:sz w:val="20"/>
        </w:rPr>
        <w:t>program elements and 3 appropriations</w:t>
      </w:r>
    </w:p>
    <w:p>
      <w:pPr>
        <w:pStyle w:val="ListParagraph"/>
        <w:numPr>
          <w:ilvl w:val="0"/>
          <w:numId w:val="1"/>
        </w:numPr>
        <w:tabs>
          <w:tab w:pos="340" w:val="left" w:leader="none"/>
          <w:tab w:pos="342" w:val="left" w:leader="none"/>
        </w:tabs>
        <w:spacing w:line="216" w:lineRule="auto" w:before="70" w:after="0"/>
        <w:ind w:left="342" w:right="232" w:hanging="298"/>
        <w:jc w:val="both"/>
        <w:rPr>
          <w:position w:val="-2"/>
          <w:sz w:val="31"/>
        </w:rPr>
      </w:pPr>
      <w:r>
        <w:rPr>
          <w:spacing w:val="-2"/>
          <w:w w:val="105"/>
          <w:sz w:val="20"/>
        </w:rPr>
        <w:t>Coordinate</w:t>
      </w:r>
      <w:r>
        <w:rPr>
          <w:spacing w:val="-7"/>
          <w:w w:val="105"/>
          <w:sz w:val="20"/>
        </w:rPr>
        <w:t> </w:t>
      </w:r>
      <w:r>
        <w:rPr>
          <w:spacing w:val="-2"/>
          <w:w w:val="105"/>
          <w:sz w:val="20"/>
        </w:rPr>
        <w:t>with</w:t>
      </w:r>
      <w:r>
        <w:rPr>
          <w:spacing w:val="-7"/>
          <w:w w:val="105"/>
          <w:sz w:val="20"/>
        </w:rPr>
        <w:t> </w:t>
      </w:r>
      <w:r>
        <w:rPr>
          <w:spacing w:val="-2"/>
          <w:w w:val="105"/>
          <w:sz w:val="20"/>
        </w:rPr>
        <w:t>DFAS</w:t>
      </w:r>
      <w:r>
        <w:rPr>
          <w:spacing w:val="-7"/>
          <w:w w:val="105"/>
          <w:sz w:val="20"/>
        </w:rPr>
        <w:t> </w:t>
      </w:r>
      <w:r>
        <w:rPr>
          <w:spacing w:val="-2"/>
          <w:w w:val="105"/>
          <w:sz w:val="20"/>
        </w:rPr>
        <w:t>and</w:t>
      </w:r>
      <w:r>
        <w:rPr>
          <w:spacing w:val="-7"/>
          <w:w w:val="105"/>
          <w:sz w:val="20"/>
        </w:rPr>
        <w:t> </w:t>
      </w:r>
      <w:r>
        <w:rPr>
          <w:spacing w:val="-2"/>
          <w:w w:val="105"/>
          <w:sz w:val="20"/>
        </w:rPr>
        <w:t>budget</w:t>
      </w:r>
      <w:r>
        <w:rPr>
          <w:spacing w:val="-7"/>
          <w:w w:val="105"/>
          <w:sz w:val="20"/>
        </w:rPr>
        <w:t> </w:t>
      </w:r>
      <w:r>
        <w:rPr>
          <w:spacing w:val="-2"/>
          <w:w w:val="105"/>
          <w:sz w:val="20"/>
        </w:rPr>
        <w:t>execution</w:t>
      </w:r>
      <w:r>
        <w:rPr>
          <w:spacing w:val="-7"/>
          <w:w w:val="105"/>
          <w:sz w:val="20"/>
        </w:rPr>
        <w:t> </w:t>
      </w:r>
      <w:r>
        <w:rPr>
          <w:spacing w:val="-2"/>
          <w:w w:val="105"/>
          <w:sz w:val="20"/>
        </w:rPr>
        <w:t>team</w:t>
      </w:r>
      <w:r>
        <w:rPr>
          <w:spacing w:val="-7"/>
          <w:w w:val="105"/>
          <w:sz w:val="20"/>
        </w:rPr>
        <w:t> </w:t>
      </w:r>
      <w:r>
        <w:rPr>
          <w:spacing w:val="-2"/>
          <w:w w:val="105"/>
          <w:sz w:val="20"/>
        </w:rPr>
        <w:t>to</w:t>
      </w:r>
      <w:r>
        <w:rPr>
          <w:spacing w:val="-7"/>
          <w:w w:val="105"/>
          <w:sz w:val="20"/>
        </w:rPr>
        <w:t> </w:t>
      </w:r>
      <w:r>
        <w:rPr>
          <w:spacing w:val="-2"/>
          <w:w w:val="105"/>
          <w:sz w:val="20"/>
        </w:rPr>
        <w:t>resolve</w:t>
      </w:r>
      <w:r>
        <w:rPr>
          <w:spacing w:val="-7"/>
          <w:w w:val="105"/>
          <w:sz w:val="20"/>
        </w:rPr>
        <w:t> </w:t>
      </w:r>
      <w:r>
        <w:rPr>
          <w:spacing w:val="-2"/>
          <w:w w:val="105"/>
          <w:sz w:val="20"/>
        </w:rPr>
        <w:t>monthly</w:t>
      </w:r>
      <w:r>
        <w:rPr>
          <w:spacing w:val="-7"/>
          <w:w w:val="105"/>
          <w:sz w:val="20"/>
        </w:rPr>
        <w:t> </w:t>
      </w:r>
      <w:r>
        <w:rPr>
          <w:spacing w:val="-2"/>
          <w:w w:val="105"/>
          <w:sz w:val="20"/>
        </w:rPr>
        <w:t>fund </w:t>
      </w:r>
      <w:r>
        <w:rPr>
          <w:w w:val="105"/>
          <w:sz w:val="20"/>
        </w:rPr>
        <w:t>discrepancies, clearing an average of 12 unmatched transactions per</w:t>
      </w:r>
    </w:p>
    <w:p>
      <w:pPr>
        <w:pStyle w:val="BodyText"/>
        <w:spacing w:before="45"/>
        <w:ind w:left="342" w:firstLine="0"/>
      </w:pPr>
      <w:r>
        <w:rPr/>
        <w:t>month</w:t>
      </w:r>
      <w:r>
        <w:rPr>
          <w:spacing w:val="9"/>
        </w:rPr>
        <w:t> </w:t>
      </w:r>
      <w:r>
        <w:rPr/>
        <w:t>within</w:t>
      </w:r>
      <w:r>
        <w:rPr>
          <w:spacing w:val="10"/>
        </w:rPr>
        <w:t> </w:t>
      </w:r>
      <w:r>
        <w:rPr/>
        <w:t>5-day</w:t>
      </w:r>
      <w:r>
        <w:rPr>
          <w:spacing w:val="10"/>
        </w:rPr>
        <w:t> </w:t>
      </w:r>
      <w:r>
        <w:rPr/>
        <w:t>resolution</w:t>
      </w:r>
      <w:r>
        <w:rPr>
          <w:spacing w:val="9"/>
        </w:rPr>
        <w:t> </w:t>
      </w:r>
      <w:r>
        <w:rPr>
          <w:spacing w:val="-2"/>
        </w:rPr>
        <w:t>targets</w:t>
      </w:r>
    </w:p>
    <w:p>
      <w:pPr>
        <w:pStyle w:val="ListParagraph"/>
        <w:numPr>
          <w:ilvl w:val="0"/>
          <w:numId w:val="1"/>
        </w:numPr>
        <w:tabs>
          <w:tab w:pos="340" w:val="left" w:leader="none"/>
          <w:tab w:pos="342" w:val="left" w:leader="none"/>
        </w:tabs>
        <w:spacing w:line="237" w:lineRule="auto" w:before="44" w:after="0"/>
        <w:ind w:left="342" w:right="331" w:hanging="298"/>
        <w:jc w:val="left"/>
        <w:rPr>
          <w:position w:val="-2"/>
          <w:sz w:val="31"/>
        </w:rPr>
      </w:pPr>
      <w:r>
        <w:rPr>
          <w:w w:val="105"/>
          <w:sz w:val="20"/>
        </w:rPr>
        <w:t>Achieved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100%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audit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compliance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in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FY22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and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FY23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Department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of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Army internal reviews, maintaining complete and accurate supporting documentation for all sampled transactions</w:t>
      </w:r>
    </w:p>
    <w:p>
      <w:pPr>
        <w:pStyle w:val="ListParagraph"/>
        <w:numPr>
          <w:ilvl w:val="0"/>
          <w:numId w:val="1"/>
        </w:numPr>
        <w:tabs>
          <w:tab w:pos="340" w:val="left" w:leader="none"/>
          <w:tab w:pos="342" w:val="left" w:leader="none"/>
        </w:tabs>
        <w:spacing w:line="216" w:lineRule="auto" w:before="70" w:after="0"/>
        <w:ind w:left="342" w:right="559" w:hanging="298"/>
        <w:jc w:val="left"/>
        <w:rPr>
          <w:position w:val="-2"/>
          <w:sz w:val="31"/>
        </w:rPr>
      </w:pPr>
      <w:r>
        <w:rPr>
          <w:w w:val="105"/>
          <w:sz w:val="20"/>
        </w:rPr>
        <w:t>Prepare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and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submit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reprogramming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requests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for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Army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G-3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leadership, justifying fund transfers between accounts and coordinating approval</w:t>
      </w:r>
    </w:p>
    <w:p>
      <w:pPr>
        <w:pStyle w:val="BodyText"/>
        <w:spacing w:before="44"/>
        <w:ind w:left="342" w:firstLine="0"/>
      </w:pPr>
      <w:r>
        <w:rPr/>
        <w:t>through</w:t>
      </w:r>
      <w:r>
        <w:rPr>
          <w:spacing w:val="13"/>
        </w:rPr>
        <w:t> </w:t>
      </w:r>
      <w:r>
        <w:rPr/>
        <w:t>OSD</w:t>
      </w:r>
      <w:r>
        <w:rPr>
          <w:spacing w:val="14"/>
        </w:rPr>
        <w:t> </w:t>
      </w:r>
      <w:r>
        <w:rPr/>
        <w:t>and</w:t>
      </w:r>
      <w:r>
        <w:rPr>
          <w:spacing w:val="13"/>
        </w:rPr>
        <w:t> </w:t>
      </w:r>
      <w:r>
        <w:rPr/>
        <w:t>congressional</w:t>
      </w:r>
      <w:r>
        <w:rPr>
          <w:spacing w:val="14"/>
        </w:rPr>
        <w:t> </w:t>
      </w:r>
      <w:r>
        <w:rPr/>
        <w:t>liaison</w:t>
      </w:r>
      <w:r>
        <w:rPr>
          <w:spacing w:val="14"/>
        </w:rPr>
        <w:t> </w:t>
      </w:r>
      <w:r>
        <w:rPr>
          <w:spacing w:val="-2"/>
        </w:rPr>
        <w:t>ofﬁces</w:t>
      </w:r>
    </w:p>
    <w:p>
      <w:pPr>
        <w:pStyle w:val="ListParagraph"/>
        <w:numPr>
          <w:ilvl w:val="0"/>
          <w:numId w:val="1"/>
        </w:numPr>
        <w:tabs>
          <w:tab w:pos="340" w:val="left" w:leader="none"/>
          <w:tab w:pos="342" w:val="left" w:leader="none"/>
        </w:tabs>
        <w:spacing w:line="237" w:lineRule="auto" w:before="45" w:after="0"/>
        <w:ind w:left="342" w:right="437" w:hanging="298"/>
        <w:jc w:val="left"/>
        <w:rPr>
          <w:position w:val="-2"/>
          <w:sz w:val="31"/>
        </w:rPr>
      </w:pPr>
      <w:r>
        <w:rPr>
          <w:w w:val="105"/>
          <w:sz w:val="20"/>
        </w:rPr>
        <w:t>Produce monthly status-of-funds reports used in senior leadership brieﬁngs,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presenting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execution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rates,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projected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year-end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balances,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and reprogramming recommendations</w:t>
      </w:r>
    </w:p>
    <w:p>
      <w:pPr>
        <w:pStyle w:val="ListParagraph"/>
        <w:numPr>
          <w:ilvl w:val="0"/>
          <w:numId w:val="1"/>
        </w:numPr>
        <w:tabs>
          <w:tab w:pos="340" w:val="left" w:leader="none"/>
          <w:tab w:pos="342" w:val="left" w:leader="none"/>
        </w:tabs>
        <w:spacing w:line="216" w:lineRule="auto" w:before="70" w:after="0"/>
        <w:ind w:left="342" w:right="169" w:hanging="298"/>
        <w:jc w:val="left"/>
        <w:rPr>
          <w:position w:val="-2"/>
          <w:sz w:val="31"/>
        </w:rPr>
      </w:pPr>
      <w:r>
        <w:rPr>
          <w:w w:val="105"/>
          <w:sz w:val="20"/>
        </w:rPr>
        <w:t>Monitor compliance with continuing resolution authorities and apportionment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limits,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advising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program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managers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on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spending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constraints</w:t>
      </w:r>
    </w:p>
    <w:p>
      <w:pPr>
        <w:pStyle w:val="BodyText"/>
        <w:spacing w:before="44"/>
        <w:ind w:left="342" w:firstLine="0"/>
      </w:pPr>
      <w:r>
        <w:rPr>
          <w:w w:val="105"/>
        </w:rPr>
        <w:t>and</w:t>
      </w:r>
      <w:r>
        <w:rPr>
          <w:spacing w:val="-8"/>
          <w:w w:val="105"/>
        </w:rPr>
        <w:t> </w:t>
      </w:r>
      <w:r>
        <w:rPr>
          <w:w w:val="105"/>
        </w:rPr>
        <w:t>timing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restrictions</w:t>
      </w:r>
    </w:p>
    <w:p>
      <w:pPr>
        <w:pStyle w:val="BodyText"/>
        <w:spacing w:after="0"/>
        <w:sectPr>
          <w:type w:val="continuous"/>
          <w:pgSz w:w="11920" w:h="16860"/>
          <w:pgMar w:top="780" w:bottom="280" w:left="141" w:right="283"/>
          <w:cols w:num="2" w:equalWidth="0">
            <w:col w:w="3548" w:space="618"/>
            <w:col w:w="7330"/>
          </w:cols>
        </w:sectPr>
      </w:pPr>
    </w:p>
    <w:p>
      <w:pPr>
        <w:pStyle w:val="ListParagraph"/>
        <w:numPr>
          <w:ilvl w:val="1"/>
          <w:numId w:val="1"/>
        </w:numPr>
        <w:tabs>
          <w:tab w:pos="675" w:val="left" w:leader="none"/>
          <w:tab w:pos="677" w:val="left" w:leader="none"/>
        </w:tabs>
        <w:spacing w:line="216" w:lineRule="auto" w:before="72" w:after="0"/>
        <w:ind w:left="677" w:right="38" w:hanging="298"/>
        <w:jc w:val="left"/>
        <w:rPr>
          <w:position w:val="-2"/>
          <w:sz w:val="31"/>
        </w:rPr>
      </w:pPr>
      <w:r>
        <w:rPr>
          <w:w w:val="105"/>
          <w:sz w:val="20"/>
        </w:rPr>
        <w:t>Audit readiness and </w:t>
      </w:r>
      <w:r>
        <w:rPr>
          <w:spacing w:val="-2"/>
          <w:w w:val="105"/>
          <w:sz w:val="20"/>
        </w:rPr>
        <w:t>compliance</w:t>
      </w:r>
      <w:r>
        <w:rPr>
          <w:spacing w:val="-3"/>
          <w:w w:val="105"/>
          <w:sz w:val="20"/>
        </w:rPr>
        <w:t> </w:t>
      </w:r>
      <w:r>
        <w:rPr>
          <w:spacing w:val="-2"/>
          <w:w w:val="105"/>
          <w:sz w:val="20"/>
        </w:rPr>
        <w:t>documentation</w:t>
      </w:r>
    </w:p>
    <w:p>
      <w:pPr>
        <w:spacing w:before="16"/>
        <w:ind w:left="379" w:right="0" w:firstLine="0"/>
        <w:jc w:val="left"/>
        <w:rPr>
          <w:b/>
          <w:sz w:val="20"/>
        </w:rPr>
      </w:pPr>
      <w:r>
        <w:rPr/>
        <w:br w:type="column"/>
      </w:r>
      <w:r>
        <w:rPr>
          <w:b/>
          <w:sz w:val="20"/>
        </w:rPr>
        <w:t>BUDGET</w:t>
      </w:r>
      <w:r>
        <w:rPr>
          <w:b/>
          <w:spacing w:val="5"/>
          <w:sz w:val="20"/>
        </w:rPr>
        <w:t> </w:t>
      </w:r>
      <w:r>
        <w:rPr>
          <w:b/>
          <w:sz w:val="20"/>
        </w:rPr>
        <w:t>TECHNICIAN</w:t>
      </w:r>
      <w:r>
        <w:rPr>
          <w:b/>
          <w:spacing w:val="5"/>
          <w:sz w:val="20"/>
        </w:rPr>
        <w:t> </w:t>
      </w:r>
      <w:r>
        <w:rPr>
          <w:position w:val="3"/>
          <w:sz w:val="20"/>
        </w:rPr>
        <w:t>|</w:t>
      </w:r>
      <w:r>
        <w:rPr>
          <w:spacing w:val="5"/>
          <w:position w:val="3"/>
          <w:sz w:val="20"/>
        </w:rPr>
        <w:t> </w:t>
      </w:r>
      <w:r>
        <w:rPr>
          <w:b/>
          <w:sz w:val="20"/>
        </w:rPr>
        <w:t>DEFENSE</w:t>
      </w:r>
      <w:r>
        <w:rPr>
          <w:b/>
          <w:spacing w:val="6"/>
          <w:sz w:val="20"/>
        </w:rPr>
        <w:t> </w:t>
      </w:r>
      <w:r>
        <w:rPr>
          <w:b/>
          <w:sz w:val="20"/>
        </w:rPr>
        <w:t>HEALTH</w:t>
      </w:r>
      <w:r>
        <w:rPr>
          <w:b/>
          <w:spacing w:val="-3"/>
          <w:sz w:val="20"/>
        </w:rPr>
        <w:t> </w:t>
      </w:r>
      <w:r>
        <w:rPr>
          <w:b/>
          <w:sz w:val="20"/>
        </w:rPr>
        <w:t>AGENCY,</w:t>
      </w:r>
      <w:r>
        <w:rPr>
          <w:b/>
          <w:spacing w:val="-2"/>
          <w:sz w:val="20"/>
        </w:rPr>
        <w:t> </w:t>
      </w:r>
      <w:r>
        <w:rPr>
          <w:b/>
          <w:sz w:val="20"/>
        </w:rPr>
        <w:t>ARLINGTON,</w:t>
      </w:r>
      <w:r>
        <w:rPr>
          <w:b/>
          <w:spacing w:val="6"/>
          <w:sz w:val="20"/>
        </w:rPr>
        <w:t> </w:t>
      </w:r>
      <w:r>
        <w:rPr>
          <w:b/>
          <w:spacing w:val="-5"/>
          <w:sz w:val="20"/>
        </w:rPr>
        <w:t>VA</w:t>
      </w:r>
    </w:p>
    <w:p>
      <w:pPr>
        <w:pStyle w:val="BodyText"/>
        <w:spacing w:before="23"/>
        <w:ind w:left="379" w:firstLine="0"/>
      </w:pPr>
      <w:r>
        <w:rPr/>
        <w:t>APRIL</w:t>
      </w:r>
      <w:r>
        <w:rPr>
          <w:spacing w:val="-10"/>
        </w:rPr>
        <w:t> </w:t>
      </w:r>
      <w:r>
        <w:rPr/>
        <w:t>2016</w:t>
      </w:r>
      <w:r>
        <w:rPr>
          <w:spacing w:val="-9"/>
        </w:rPr>
        <w:t> </w:t>
      </w:r>
      <w:r>
        <w:rPr/>
        <w:t>–</w:t>
      </w:r>
      <w:r>
        <w:rPr>
          <w:spacing w:val="-9"/>
        </w:rPr>
        <w:t> </w:t>
      </w:r>
      <w:r>
        <w:rPr/>
        <w:t>MAY</w:t>
      </w:r>
      <w:r>
        <w:rPr>
          <w:spacing w:val="-9"/>
        </w:rPr>
        <w:t> </w:t>
      </w:r>
      <w:r>
        <w:rPr>
          <w:spacing w:val="-4"/>
        </w:rPr>
        <w:t>2020</w:t>
      </w:r>
    </w:p>
    <w:p>
      <w:pPr>
        <w:pStyle w:val="BodyText"/>
        <w:spacing w:after="0"/>
        <w:sectPr>
          <w:type w:val="continuous"/>
          <w:pgSz w:w="11920" w:h="16860"/>
          <w:pgMar w:top="780" w:bottom="280" w:left="141" w:right="283"/>
          <w:cols w:num="2" w:equalWidth="0">
            <w:col w:w="3205" w:space="440"/>
            <w:col w:w="7851"/>
          </w:cols>
        </w:sectPr>
      </w:pPr>
    </w:p>
    <w:p>
      <w:pPr>
        <w:pStyle w:val="ListParagraph"/>
        <w:numPr>
          <w:ilvl w:val="1"/>
          <w:numId w:val="1"/>
        </w:numPr>
        <w:tabs>
          <w:tab w:pos="675" w:val="left" w:leader="none"/>
          <w:tab w:pos="677" w:val="left" w:leader="none"/>
        </w:tabs>
        <w:spacing w:line="228" w:lineRule="auto" w:before="61" w:after="0"/>
        <w:ind w:left="677" w:right="38" w:hanging="298"/>
        <w:jc w:val="left"/>
        <w:rPr>
          <w:sz w:val="31"/>
        </w:rPr>
      </w:pPr>
      <w:r>
        <w:rPr>
          <w:position w:val="1"/>
          <w:sz w:val="20"/>
        </w:rPr>
        <w:t>Defense ﬁnancial systems </w:t>
      </w:r>
      <w:r>
        <w:rPr>
          <w:sz w:val="20"/>
        </w:rPr>
        <w:t>(GFEBS, STARS)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  <w:tab w:pos="677" w:val="left" w:leader="none"/>
        </w:tabs>
        <w:spacing w:line="237" w:lineRule="auto" w:before="154" w:after="0"/>
        <w:ind w:left="677" w:right="649" w:hanging="298"/>
        <w:jc w:val="left"/>
        <w:rPr>
          <w:position w:val="-2"/>
          <w:sz w:val="31"/>
        </w:rPr>
      </w:pPr>
      <w:r>
        <w:rPr/>
        <w:br w:type="column"/>
      </w:r>
      <w:r>
        <w:rPr>
          <w:w w:val="105"/>
          <w:sz w:val="20"/>
        </w:rPr>
        <w:t>Processed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funding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adjustments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and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obligation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transactions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for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health operations, reviewing 80+ transactions monthly for accuracy and compliance with DoD ﬁnancial management regulations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  <w:tab w:pos="677" w:val="left" w:leader="none"/>
        </w:tabs>
        <w:spacing w:line="249" w:lineRule="auto" w:before="44" w:after="0"/>
        <w:ind w:left="677" w:right="105" w:hanging="298"/>
        <w:jc w:val="left"/>
        <w:rPr>
          <w:position w:val="-2"/>
          <w:sz w:val="31"/>
        </w:rPr>
      </w:pPr>
      <w:r>
        <w:rPr>
          <w:w w:val="105"/>
          <w:sz w:val="20"/>
        </w:rPr>
        <w:t>Reconciled budget line items across 4 major appropriations, including </w:t>
      </w:r>
      <w:r>
        <w:rPr>
          <w:spacing w:val="-2"/>
          <w:w w:val="105"/>
          <w:sz w:val="20"/>
        </w:rPr>
        <w:t>O&amp;M,</w:t>
      </w:r>
      <w:r>
        <w:rPr>
          <w:spacing w:val="-13"/>
          <w:w w:val="105"/>
          <w:sz w:val="20"/>
        </w:rPr>
        <w:t> </w:t>
      </w:r>
      <w:r>
        <w:rPr>
          <w:spacing w:val="-2"/>
          <w:w w:val="105"/>
          <w:sz w:val="20"/>
        </w:rPr>
        <w:t>RDT&amp;E,</w:t>
      </w:r>
      <w:r>
        <w:rPr>
          <w:spacing w:val="-12"/>
          <w:w w:val="105"/>
          <w:sz w:val="20"/>
        </w:rPr>
        <w:t> </w:t>
      </w:r>
      <w:r>
        <w:rPr>
          <w:spacing w:val="-2"/>
          <w:w w:val="105"/>
          <w:sz w:val="20"/>
        </w:rPr>
        <w:t>and</w:t>
      </w:r>
      <w:r>
        <w:rPr>
          <w:spacing w:val="-13"/>
          <w:w w:val="105"/>
          <w:sz w:val="20"/>
        </w:rPr>
        <w:t> </w:t>
      </w:r>
      <w:r>
        <w:rPr>
          <w:spacing w:val="-2"/>
          <w:w w:val="105"/>
          <w:sz w:val="20"/>
        </w:rPr>
        <w:t>MilPers,</w:t>
      </w:r>
      <w:r>
        <w:rPr>
          <w:spacing w:val="-12"/>
          <w:w w:val="105"/>
          <w:sz w:val="20"/>
        </w:rPr>
        <w:t> </w:t>
      </w:r>
      <w:r>
        <w:rPr>
          <w:spacing w:val="-2"/>
          <w:w w:val="105"/>
          <w:sz w:val="20"/>
        </w:rPr>
        <w:t>resolving</w:t>
      </w:r>
      <w:r>
        <w:rPr>
          <w:spacing w:val="-13"/>
          <w:w w:val="105"/>
          <w:sz w:val="20"/>
        </w:rPr>
        <w:t> </w:t>
      </w:r>
      <w:r>
        <w:rPr>
          <w:spacing w:val="-2"/>
          <w:w w:val="105"/>
          <w:sz w:val="20"/>
        </w:rPr>
        <w:t>discrepancies</w:t>
      </w:r>
      <w:r>
        <w:rPr>
          <w:spacing w:val="-12"/>
          <w:w w:val="105"/>
          <w:sz w:val="20"/>
        </w:rPr>
        <w:t> </w:t>
      </w:r>
      <w:r>
        <w:rPr>
          <w:spacing w:val="-2"/>
          <w:w w:val="105"/>
          <w:sz w:val="20"/>
        </w:rPr>
        <w:t>between</w:t>
      </w:r>
      <w:r>
        <w:rPr>
          <w:spacing w:val="-13"/>
          <w:w w:val="105"/>
          <w:sz w:val="20"/>
        </w:rPr>
        <w:t> </w:t>
      </w:r>
      <w:r>
        <w:rPr>
          <w:spacing w:val="-2"/>
          <w:w w:val="105"/>
          <w:sz w:val="20"/>
        </w:rPr>
        <w:t>DFAS</w:t>
      </w:r>
      <w:r>
        <w:rPr>
          <w:spacing w:val="-12"/>
          <w:w w:val="105"/>
          <w:sz w:val="20"/>
        </w:rPr>
        <w:t> </w:t>
      </w:r>
      <w:r>
        <w:rPr>
          <w:spacing w:val="-2"/>
          <w:w w:val="105"/>
          <w:sz w:val="20"/>
        </w:rPr>
        <w:t>records </w:t>
      </w:r>
      <w:r>
        <w:rPr>
          <w:w w:val="105"/>
          <w:sz w:val="20"/>
        </w:rPr>
        <w:t>and program ofﬁce accounts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  <w:tab w:pos="677" w:val="left" w:leader="none"/>
        </w:tabs>
        <w:spacing w:line="237" w:lineRule="auto" w:before="23" w:after="0"/>
        <w:ind w:left="677" w:right="82" w:hanging="298"/>
        <w:jc w:val="left"/>
        <w:rPr>
          <w:position w:val="-2"/>
          <w:sz w:val="31"/>
        </w:rPr>
      </w:pPr>
      <w:r>
        <w:rPr>
          <w:w w:val="105"/>
          <w:sz w:val="20"/>
        </w:rPr>
        <w:t>Developed monthly status-of-funds reports used in senior leadership brieﬁngs,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summarizing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execution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rates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and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projected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year-end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positions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for each major program</w:t>
      </w:r>
    </w:p>
    <w:p>
      <w:pPr>
        <w:pStyle w:val="ListParagraph"/>
        <w:spacing w:after="0" w:line="237" w:lineRule="auto"/>
        <w:jc w:val="left"/>
        <w:rPr>
          <w:position w:val="-2"/>
          <w:sz w:val="31"/>
        </w:rPr>
        <w:sectPr>
          <w:type w:val="continuous"/>
          <w:pgSz w:w="11920" w:h="16860"/>
          <w:pgMar w:top="780" w:bottom="280" w:left="141" w:right="283"/>
          <w:cols w:num="2" w:equalWidth="0">
            <w:col w:w="3103" w:space="728"/>
            <w:col w:w="7665"/>
          </w:cols>
        </w:sectPr>
      </w:pPr>
    </w:p>
    <w:p>
      <w:pPr>
        <w:pStyle w:val="Heading1"/>
        <w:spacing w:before="300"/>
        <w:ind w:right="1223"/>
        <w:jc w:val="center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844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0382250"/>
                            <a:ext cx="7568565" cy="3225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22580">
                                <a:moveTo>
                                  <a:pt x="0" y="322326"/>
                                </a:moveTo>
                                <a:lnTo>
                                  <a:pt x="7568183" y="322326"/>
                                </a:lnTo>
                                <a:lnTo>
                                  <a:pt x="75681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2232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A8FB6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1"/>
                            <a:ext cx="75685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0704830">
                                <a:moveTo>
                                  <a:pt x="2454351" y="10382250"/>
                                </a:moveTo>
                                <a:lnTo>
                                  <a:pt x="2444839" y="10382250"/>
                                </a:lnTo>
                                <a:lnTo>
                                  <a:pt x="2444839" y="10704563"/>
                                </a:lnTo>
                                <a:lnTo>
                                  <a:pt x="2454351" y="10704563"/>
                                </a:lnTo>
                                <a:lnTo>
                                  <a:pt x="2454351" y="10382250"/>
                                </a:lnTo>
                                <a:close/>
                              </a:path>
                              <a:path w="7568565" h="10704830">
                                <a:moveTo>
                                  <a:pt x="7568171" y="0"/>
                                </a:moveTo>
                                <a:lnTo>
                                  <a:pt x="2454351" y="0"/>
                                </a:lnTo>
                                <a:lnTo>
                                  <a:pt x="244483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800337"/>
                                </a:lnTo>
                                <a:lnTo>
                                  <a:pt x="2444839" y="2800337"/>
                                </a:lnTo>
                                <a:lnTo>
                                  <a:pt x="2454351" y="2800350"/>
                                </a:lnTo>
                                <a:lnTo>
                                  <a:pt x="7568171" y="2800337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2800349"/>
                            <a:ext cx="7568565" cy="7581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7581900">
                                <a:moveTo>
                                  <a:pt x="7568183" y="7581899"/>
                                </a:moveTo>
                                <a:lnTo>
                                  <a:pt x="0" y="75818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7581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2800349"/>
                            <a:ext cx="2457450" cy="7581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57450" h="7581900">
                                <a:moveTo>
                                  <a:pt x="2457449" y="7581899"/>
                                </a:moveTo>
                                <a:lnTo>
                                  <a:pt x="0" y="7581899"/>
                                </a:lnTo>
                                <a:lnTo>
                                  <a:pt x="0" y="0"/>
                                </a:lnTo>
                                <a:lnTo>
                                  <a:pt x="2457449" y="0"/>
                                </a:lnTo>
                                <a:lnTo>
                                  <a:pt x="2457449" y="7581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A8FB6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2447924" y="2800349"/>
                            <a:ext cx="9525" cy="7581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7581900">
                                <a:moveTo>
                                  <a:pt x="9524" y="7581899"/>
                                </a:moveTo>
                                <a:lnTo>
                                  <a:pt x="0" y="758189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7581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4495799"/>
                            <a:ext cx="2352675" cy="361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52675" h="361950">
                                <a:moveTo>
                                  <a:pt x="2352674" y="361949"/>
                                </a:moveTo>
                                <a:lnTo>
                                  <a:pt x="0" y="361949"/>
                                </a:lnTo>
                                <a:lnTo>
                                  <a:pt x="0" y="0"/>
                                </a:lnTo>
                                <a:lnTo>
                                  <a:pt x="2352674" y="0"/>
                                </a:lnTo>
                                <a:lnTo>
                                  <a:pt x="2352674" y="3619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A8FB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2933699"/>
                            <a:ext cx="161925" cy="2286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6" y="3371849"/>
                            <a:ext cx="161923" cy="1653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4" y="3752849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4152899"/>
                            <a:ext cx="161924" cy="1619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2457449" y="2800349"/>
                            <a:ext cx="5111115" cy="7581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11115" h="7581900">
                                <a:moveTo>
                                  <a:pt x="5110733" y="7581899"/>
                                </a:moveTo>
                                <a:lnTo>
                                  <a:pt x="0" y="7581899"/>
                                </a:lnTo>
                                <a:lnTo>
                                  <a:pt x="0" y="0"/>
                                </a:lnTo>
                                <a:lnTo>
                                  <a:pt x="5110733" y="0"/>
                                </a:lnTo>
                                <a:lnTo>
                                  <a:pt x="5110733" y="7581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A8FB6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2647937" y="3028949"/>
                            <a:ext cx="4920615" cy="7124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20615" h="7124700">
                                <a:moveTo>
                                  <a:pt x="4920234" y="6762750"/>
                                </a:moveTo>
                                <a:lnTo>
                                  <a:pt x="0" y="6762750"/>
                                </a:lnTo>
                                <a:lnTo>
                                  <a:pt x="0" y="7124700"/>
                                </a:lnTo>
                                <a:lnTo>
                                  <a:pt x="4920234" y="7124700"/>
                                </a:lnTo>
                                <a:lnTo>
                                  <a:pt x="4920234" y="6762750"/>
                                </a:lnTo>
                                <a:close/>
                              </a:path>
                              <a:path w="4920615" h="7124700">
                                <a:moveTo>
                                  <a:pt x="49202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52425"/>
                                </a:lnTo>
                                <a:lnTo>
                                  <a:pt x="4920234" y="352425"/>
                                </a:lnTo>
                                <a:lnTo>
                                  <a:pt x="49202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A8FB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25pt;width:595.950pt;height:842.9pt;mso-position-horizontal-relative:page;mso-position-vertical-relative:page;z-index:-15788032" id="docshapegroup1" coordorigin="0,0" coordsize="11919,16858">
                <v:rect style="position:absolute;left:0;top:16350;width:11919;height:508" id="docshape2" filled="true" fillcolor="#aa8fb6" stroked="false">
                  <v:fill opacity="32899f" type="solid"/>
                </v:rect>
                <v:shape style="position:absolute;left:0;top:0;width:11919;height:16858" id="docshape3" coordorigin="0,0" coordsize="11919,16858" path="m3865,16350l3850,16350,3850,16858,3865,16858,3865,16350xm11918,0l3865,0,3850,0,0,0,0,4410,3850,4410,3850,4410,3865,4410,3865,4410,11918,4410,11918,0xe" filled="true" fillcolor="#424242" stroked="false">
                  <v:path arrowok="t"/>
                  <v:fill type="solid"/>
                </v:shape>
                <v:rect style="position:absolute;left:0;top:4410;width:11919;height:11940" id="docshape4" filled="true" fillcolor="#ffffff" stroked="false">
                  <v:fill type="solid"/>
                </v:rect>
                <v:rect style="position:absolute;left:0;top:4410;width:3870;height:11940" id="docshape5" filled="true" fillcolor="#aa8fb6" stroked="false">
                  <v:fill opacity="32899f" type="solid"/>
                </v:rect>
                <v:rect style="position:absolute;left:3855;top:4410;width:15;height:11940" id="docshape6" filled="true" fillcolor="#424242" stroked="false">
                  <v:fill type="solid"/>
                </v:rect>
                <v:rect style="position:absolute;left:0;top:7080;width:3705;height:570" id="docshape7" filled="true" fillcolor="#aa8fb6" stroked="false">
                  <v:fill type="solid"/>
                </v:rect>
                <v:shape style="position:absolute;left:525;top:4620;width:255;height:360" type="#_x0000_t75" id="docshape8" stroked="false">
                  <v:imagedata r:id="rId6" o:title=""/>
                </v:shape>
                <v:shape style="position:absolute;left:525;top:5310;width:255;height:261" type="#_x0000_t75" id="docshape9" stroked="false">
                  <v:imagedata r:id="rId7" o:title=""/>
                </v:shape>
                <v:shape style="position:absolute;left:525;top:5910;width:255;height:300" type="#_x0000_t75" id="docshape10" stroked="false">
                  <v:imagedata r:id="rId8" o:title=""/>
                </v:shape>
                <v:shape style="position:absolute;left:525;top:6540;width:255;height:255" type="#_x0000_t75" id="docshape11" stroked="false">
                  <v:imagedata r:id="rId9" o:title=""/>
                </v:shape>
                <v:rect style="position:absolute;left:3870;top:4410;width:8049;height:11940" id="docshape12" filled="true" fillcolor="#aa8fb6" stroked="false">
                  <v:fill opacity="32899f" type="solid"/>
                </v:rect>
                <v:shape style="position:absolute;left:4169;top:4770;width:7749;height:11220" id="docshape13" coordorigin="4170,4770" coordsize="7749,11220" path="m11918,15420l4170,15420,4170,15990,11918,15990,11918,15420xm11918,4770l4170,4770,4170,5325,11918,5325,11918,4770xe" filled="true" fillcolor="#aa8fb6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FFFFFF"/>
          <w:spacing w:val="-2"/>
        </w:rPr>
        <w:t>EDUCATION</w:t>
      </w:r>
    </w:p>
    <w:p>
      <w:pPr>
        <w:pStyle w:val="Heading1"/>
        <w:spacing w:after="0"/>
        <w:jc w:val="center"/>
        <w:sectPr>
          <w:type w:val="continuous"/>
          <w:pgSz w:w="11920" w:h="16860"/>
          <w:pgMar w:top="780" w:bottom="280" w:left="141" w:right="283"/>
        </w:sectPr>
      </w:pPr>
    </w:p>
    <w:p>
      <w:pPr>
        <w:pStyle w:val="ListParagraph"/>
        <w:numPr>
          <w:ilvl w:val="2"/>
          <w:numId w:val="1"/>
        </w:numPr>
        <w:tabs>
          <w:tab w:pos="4321" w:val="left" w:leader="none"/>
        </w:tabs>
        <w:spacing w:line="343" w:lineRule="exact" w:before="71" w:after="0"/>
        <w:ind w:left="4321" w:right="0" w:hanging="296"/>
        <w:jc w:val="left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2896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4" name="Graphic 1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" name="Graphic 14"/>
                      <wps:cNvSpPr/>
                      <wps:spPr>
                        <a:xfrm>
                          <a:off x="0" y="0"/>
                          <a:ext cx="7568565" cy="10704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10704830">
                              <a:moveTo>
                                <a:pt x="7568183" y="10704576"/>
                              </a:moveTo>
                              <a:lnTo>
                                <a:pt x="0" y="10704576"/>
                              </a:lnTo>
                              <a:lnTo>
                                <a:pt x="0" y="0"/>
                              </a:lnTo>
                              <a:lnTo>
                                <a:pt x="7568183" y="0"/>
                              </a:lnTo>
                              <a:lnTo>
                                <a:pt x="7568183" y="1070457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AA8FB6">
                            <a:alpha val="5019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25pt;width:595.919988pt;height:842.880013pt;mso-position-horizontal-relative:page;mso-position-vertical-relative:page;z-index:-15787520" id="docshape14" filled="true" fillcolor="#aa8fb6" stroked="false">
                <v:fill opacity="32899f" type="solid"/>
                <w10:wrap type="none"/>
              </v:rect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2947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5" name="Group 1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5" name="Group 15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16" name="Graphic 16"/>
                        <wps:cNvSpPr/>
                        <wps:spPr>
                          <a:xfrm>
                            <a:off x="2444849" y="0"/>
                            <a:ext cx="952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10704830">
                                <a:moveTo>
                                  <a:pt x="0" y="0"/>
                                </a:moveTo>
                                <a:lnTo>
                                  <a:pt x="9513" y="0"/>
                                </a:lnTo>
                                <a:lnTo>
                                  <a:pt x="9513" y="10704576"/>
                                </a:lnTo>
                                <a:lnTo>
                                  <a:pt x="0" y="1070457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0" y="323849"/>
                            <a:ext cx="7568565" cy="1095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095375">
                                <a:moveTo>
                                  <a:pt x="7568183" y="1095374"/>
                                </a:moveTo>
                                <a:lnTo>
                                  <a:pt x="0" y="10953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095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0" y="323849"/>
                            <a:ext cx="2457450" cy="1095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57450" h="1095375">
                                <a:moveTo>
                                  <a:pt x="2457449" y="1095374"/>
                                </a:moveTo>
                                <a:lnTo>
                                  <a:pt x="0" y="1095374"/>
                                </a:lnTo>
                                <a:lnTo>
                                  <a:pt x="0" y="0"/>
                                </a:lnTo>
                                <a:lnTo>
                                  <a:pt x="2457449" y="0"/>
                                </a:lnTo>
                                <a:lnTo>
                                  <a:pt x="2457449" y="1095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A8FB6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2447924" y="323849"/>
                            <a:ext cx="9525" cy="1095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1095375">
                                <a:moveTo>
                                  <a:pt x="9524" y="1095374"/>
                                </a:moveTo>
                                <a:lnTo>
                                  <a:pt x="0" y="1095374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1095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2457449" y="323849"/>
                            <a:ext cx="5111115" cy="1095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11115" h="1095375">
                                <a:moveTo>
                                  <a:pt x="5110733" y="1095374"/>
                                </a:moveTo>
                                <a:lnTo>
                                  <a:pt x="0" y="1095374"/>
                                </a:lnTo>
                                <a:lnTo>
                                  <a:pt x="0" y="0"/>
                                </a:lnTo>
                                <a:lnTo>
                                  <a:pt x="5110733" y="0"/>
                                </a:lnTo>
                                <a:lnTo>
                                  <a:pt x="5110733" y="1095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A8FB6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25pt;width:595.950pt;height:842.9pt;mso-position-horizontal-relative:page;mso-position-vertical-relative:page;z-index:-15787008" id="docshapegroup15" coordorigin="0,0" coordsize="11919,16858">
                <v:rect style="position:absolute;left:3850;top:0;width:15;height:16858" id="docshape16" filled="true" fillcolor="#424242" stroked="false">
                  <v:fill type="solid"/>
                </v:rect>
                <v:rect style="position:absolute;left:0;top:510;width:11919;height:1725" id="docshape17" filled="true" fillcolor="#ffffff" stroked="false">
                  <v:fill type="solid"/>
                </v:rect>
                <v:rect style="position:absolute;left:0;top:510;width:3870;height:1725" id="docshape18" filled="true" fillcolor="#aa8fb6" stroked="false">
                  <v:fill opacity="32899f" type="solid"/>
                </v:rect>
                <v:rect style="position:absolute;left:3855;top:510;width:15;height:1725" id="docshape19" filled="true" fillcolor="#424242" stroked="false">
                  <v:fill type="solid"/>
                </v:rect>
                <v:rect style="position:absolute;left:3870;top:510;width:8049;height:1725" id="docshape20" filled="true" fillcolor="#aa8fb6" stroked="false">
                  <v:fill opacity="32899f" type="solid"/>
                </v:rect>
                <w10:wrap type="none"/>
              </v:group>
            </w:pict>
          </mc:Fallback>
        </mc:AlternateContent>
      </w:r>
      <w:r>
        <w:rPr>
          <w:sz w:val="20"/>
        </w:rPr>
        <w:t>Bachelor</w:t>
      </w:r>
      <w:r>
        <w:rPr>
          <w:spacing w:val="8"/>
          <w:sz w:val="20"/>
        </w:rPr>
        <w:t> </w:t>
      </w:r>
      <w:r>
        <w:rPr>
          <w:sz w:val="20"/>
        </w:rPr>
        <w:t>of</w:t>
      </w:r>
      <w:r>
        <w:rPr>
          <w:spacing w:val="8"/>
          <w:sz w:val="20"/>
        </w:rPr>
        <w:t> </w:t>
      </w:r>
      <w:r>
        <w:rPr>
          <w:sz w:val="20"/>
        </w:rPr>
        <w:t>Science</w:t>
      </w:r>
      <w:r>
        <w:rPr>
          <w:spacing w:val="8"/>
          <w:sz w:val="20"/>
        </w:rPr>
        <w:t> </w:t>
      </w:r>
      <w:r>
        <w:rPr>
          <w:sz w:val="20"/>
        </w:rPr>
        <w:t>(B.S.)</w:t>
      </w:r>
      <w:r>
        <w:rPr>
          <w:spacing w:val="9"/>
          <w:sz w:val="20"/>
        </w:rPr>
        <w:t> </w:t>
      </w:r>
      <w:r>
        <w:rPr>
          <w:sz w:val="20"/>
        </w:rPr>
        <w:t>in</w:t>
      </w:r>
      <w:r>
        <w:rPr>
          <w:spacing w:val="8"/>
          <w:sz w:val="20"/>
        </w:rPr>
        <w:t> </w:t>
      </w:r>
      <w:r>
        <w:rPr>
          <w:sz w:val="20"/>
        </w:rPr>
        <w:t>Financial</w:t>
      </w:r>
      <w:r>
        <w:rPr>
          <w:spacing w:val="8"/>
          <w:sz w:val="20"/>
        </w:rPr>
        <w:t> </w:t>
      </w:r>
      <w:r>
        <w:rPr>
          <w:spacing w:val="-2"/>
          <w:sz w:val="20"/>
        </w:rPr>
        <w:t>Management</w:t>
      </w:r>
    </w:p>
    <w:p>
      <w:pPr>
        <w:pStyle w:val="BodyText"/>
        <w:spacing w:line="247" w:lineRule="exact"/>
        <w:ind w:left="4322" w:firstLine="0"/>
      </w:pPr>
      <w:r>
        <w:rPr/>
        <w:t>University</w:t>
      </w:r>
      <w:r>
        <w:rPr>
          <w:spacing w:val="13"/>
        </w:rPr>
        <w:t> </w:t>
      </w:r>
      <w:r>
        <w:rPr/>
        <w:t>of</w:t>
      </w:r>
      <w:r>
        <w:rPr>
          <w:spacing w:val="13"/>
        </w:rPr>
        <w:t> </w:t>
      </w:r>
      <w:r>
        <w:rPr/>
        <w:t>Maryland</w:t>
      </w:r>
      <w:r>
        <w:rPr>
          <w:spacing w:val="13"/>
        </w:rPr>
        <w:t> </w:t>
      </w:r>
      <w:r>
        <w:rPr/>
        <w:t>Global</w:t>
      </w:r>
      <w:r>
        <w:rPr>
          <w:spacing w:val="13"/>
        </w:rPr>
        <w:t> </w:t>
      </w:r>
      <w:r>
        <w:rPr/>
        <w:t>Campus,</w:t>
      </w:r>
      <w:r>
        <w:rPr>
          <w:spacing w:val="13"/>
        </w:rPr>
        <w:t> </w:t>
      </w:r>
      <w:r>
        <w:rPr/>
        <w:t>Adelphi,</w:t>
      </w:r>
      <w:r>
        <w:rPr>
          <w:spacing w:val="13"/>
        </w:rPr>
        <w:t> </w:t>
      </w:r>
      <w:r>
        <w:rPr/>
        <w:t>MD</w:t>
      </w:r>
      <w:r>
        <w:rPr>
          <w:spacing w:val="12"/>
        </w:rPr>
        <w:t> </w:t>
      </w:r>
      <w:r>
        <w:rPr>
          <w:position w:val="3"/>
        </w:rPr>
        <w:t>|</w:t>
      </w:r>
      <w:r>
        <w:rPr>
          <w:spacing w:val="11"/>
          <w:position w:val="3"/>
        </w:rPr>
        <w:t> </w:t>
      </w:r>
      <w:r>
        <w:rPr/>
        <w:t>May</w:t>
      </w:r>
      <w:r>
        <w:rPr>
          <w:spacing w:val="14"/>
        </w:rPr>
        <w:t> </w:t>
      </w:r>
      <w:r>
        <w:rPr>
          <w:spacing w:val="-4"/>
        </w:rPr>
        <w:t>2015</w:t>
      </w:r>
    </w:p>
    <w:sectPr>
      <w:pgSz w:w="11920" w:h="16860"/>
      <w:pgMar w:top="340" w:bottom="280" w:left="141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67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7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32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07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948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824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70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57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452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677" w:hanging="298"/>
    </w:pPr>
    <w:rPr>
      <w:rFonts w:ascii="Arial" w:hAnsi="Arial" w:eastAsia="Arial" w:cs="Arial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69"/>
      <w:ind w:left="379"/>
      <w:outlineLvl w:val="2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70"/>
      <w:ind w:left="677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2026-03-12T15:06:40Z</dcterms:created>
  <dcterms:modified xsi:type="dcterms:W3CDTF">2026-03-12T15:06:40Z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2026-03-12T00:00:00Z</vt:filetime>
  </property>
  <property fmtid="{D5CDD505-2E9C-101B-9397-08002B2CF9AE}" pid="3" name="Creator">
    <vt:lpwstr>pdf-lib (https://github.com/Hopding/pdf-lib)</vt:lpwstr>
  </property>
  <property fmtid="{D5CDD505-2E9C-101B-9397-08002B2CF9AE}" pid="4" name="LastSaved">
    <vt:filetime>2026-03-12T00:00:00Z</vt:filetime>
  </property>
  <property fmtid="{D5CDD505-2E9C-101B-9397-08002B2CF9AE}" pid="5" name="Producer">
    <vt:lpwstr>pdf-merger-js</vt:lpwstr>
  </property>
</Properties>
</file>