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448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2"/>
      </w:pPr>
      <w:r>
        <w:rPr>
          <w:color w:val="FFFFFF"/>
        </w:rPr>
        <w:t>Air</w:t>
      </w:r>
      <w:r>
        <w:rPr>
          <w:color w:val="FFFFFF"/>
          <w:spacing w:val="1"/>
        </w:rPr>
        <w:t> </w:t>
      </w:r>
      <w:r>
        <w:rPr>
          <w:color w:val="FFFFFF"/>
        </w:rPr>
        <w:t>Force</w:t>
      </w:r>
      <w:r>
        <w:rPr>
          <w:color w:val="FFFFFF"/>
          <w:spacing w:val="2"/>
        </w:rPr>
        <w:t> </w:t>
      </w:r>
      <w:r>
        <w:rPr>
          <w:color w:val="FFFFFF"/>
        </w:rPr>
        <w:t>Budget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Analyst</w:t>
      </w:r>
    </w:p>
    <w:p>
      <w:pPr>
        <w:spacing w:line="273" w:lineRule="auto" w:before="178"/>
        <w:ind w:left="448" w:right="569" w:firstLine="0"/>
        <w:jc w:val="left"/>
        <w:rPr>
          <w:sz w:val="16"/>
        </w:rPr>
      </w:pPr>
      <w:r>
        <w:rPr>
          <w:color w:val="FFFFFF"/>
          <w:w w:val="105"/>
          <w:sz w:val="16"/>
        </w:rPr>
        <w:t>Veteran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6+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U.S.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Air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Force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multi-functional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budgets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personnel, 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logistics.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$45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million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Joint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Base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San Antonio,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implemented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review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processes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achieving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100% audit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reconciled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1,200+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quarterly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GTC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transactions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zero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late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payment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violations.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Highly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DEAMS, defense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budgeting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regulations,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unit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resource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advisors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budget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execution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precision, compliance, and mission-readiness through financial accountability.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229"/>
        <w:rPr>
          <w:sz w:val="28"/>
        </w:rPr>
      </w:pPr>
    </w:p>
    <w:p>
      <w:pPr>
        <w:pStyle w:val="Heading1"/>
      </w:pPr>
      <w:r>
        <w:rPr>
          <w:smallCaps/>
          <w:color w:val="F5F5F5"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ind w:left="597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C0C0C"/>
          <w:spacing w:val="-5"/>
        </w:rPr>
        <w:t>Professional</w:t>
      </w:r>
      <w:r>
        <w:rPr>
          <w:smallCaps/>
          <w:color w:val="0C0C0C"/>
          <w:spacing w:val="-4"/>
        </w:rPr>
        <w:t> </w:t>
      </w:r>
      <w:r>
        <w:rPr>
          <w:smallCaps/>
          <w:color w:val="0C0C0C"/>
          <w:spacing w:val="-2"/>
        </w:rPr>
        <w:t>Experience</w:t>
      </w:r>
    </w:p>
    <w:p>
      <w:pPr>
        <w:pStyle w:val="BodyText"/>
        <w:spacing w:line="268" w:lineRule="auto" w:before="241"/>
        <w:ind w:left="170" w:right="186"/>
      </w:pPr>
      <w:r>
        <w:rPr>
          <w:w w:val="105"/>
        </w:rPr>
        <w:t>Budget</w:t>
      </w:r>
      <w:r>
        <w:rPr>
          <w:spacing w:val="-1"/>
          <w:w w:val="105"/>
        </w:rPr>
        <w:t> </w:t>
      </w:r>
      <w:r>
        <w:rPr>
          <w:w w:val="105"/>
        </w:rPr>
        <w:t>Analyst </w:t>
      </w:r>
      <w:r>
        <w:rPr>
          <w:w w:val="105"/>
          <w:position w:val="2"/>
        </w:rPr>
        <w:t>| </w:t>
      </w:r>
      <w:r>
        <w:rPr>
          <w:w w:val="105"/>
        </w:rPr>
        <w:t>United States</w:t>
      </w:r>
      <w:r>
        <w:rPr>
          <w:spacing w:val="-1"/>
          <w:w w:val="105"/>
        </w:rPr>
        <w:t> </w:t>
      </w:r>
      <w:r>
        <w:rPr>
          <w:w w:val="105"/>
        </w:rPr>
        <w:t>Air Force – 502d Comptroller Squadron, San Antonio, TX, Chicago, IL</w:t>
      </w:r>
    </w:p>
    <w:p>
      <w:pPr>
        <w:pStyle w:val="BodyText"/>
        <w:spacing w:line="200" w:lineRule="exact"/>
        <w:ind w:left="170"/>
      </w:pPr>
      <w:r>
        <w:rPr>
          <w:w w:val="105"/>
        </w:rPr>
        <w:t>March</w:t>
      </w:r>
      <w:r>
        <w:rPr>
          <w:spacing w:val="5"/>
          <w:w w:val="105"/>
        </w:rPr>
        <w:t> </w:t>
      </w:r>
      <w:r>
        <w:rPr>
          <w:w w:val="105"/>
        </w:rPr>
        <w:t>2020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 w:line="200" w:lineRule="exact"/>
        <w:sectPr>
          <w:type w:val="continuous"/>
          <w:pgSz w:w="11920" w:h="16860"/>
          <w:pgMar w:top="780" w:bottom="280" w:left="425" w:right="283"/>
          <w:cols w:num="2" w:equalWidth="0">
            <w:col w:w="1869" w:space="1962"/>
            <w:col w:w="7381"/>
          </w:cols>
        </w:sectPr>
      </w:pPr>
    </w:p>
    <w:p>
      <w:pPr>
        <w:pStyle w:val="BodyText"/>
        <w:spacing w:before="111"/>
      </w:pPr>
    </w:p>
    <w:p>
      <w:pPr>
        <w:pStyle w:val="BodyText"/>
        <w:spacing w:line="643" w:lineRule="auto"/>
        <w:ind w:left="597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597"/>
      </w:pPr>
      <w:r>
        <w:rPr>
          <w:color w:val="424242"/>
        </w:rPr>
        <w:t>San</w:t>
      </w:r>
      <w:r>
        <w:rPr>
          <w:color w:val="424242"/>
          <w:spacing w:val="-2"/>
        </w:rPr>
        <w:t> </w:t>
      </w:r>
      <w:r>
        <w:rPr>
          <w:color w:val="424242"/>
        </w:rPr>
        <w:t>Antonio,</w:t>
      </w:r>
      <w:r>
        <w:rPr>
          <w:color w:val="424242"/>
          <w:spacing w:val="7"/>
        </w:rPr>
        <w:t> </w:t>
      </w:r>
      <w:r>
        <w:rPr>
          <w:color w:val="424242"/>
        </w:rPr>
        <w:t>TX</w:t>
      </w:r>
      <w:r>
        <w:rPr>
          <w:color w:val="424242"/>
          <w:spacing w:val="11"/>
        </w:rPr>
        <w:t> </w:t>
      </w:r>
      <w:r>
        <w:rPr>
          <w:color w:val="424242"/>
          <w:spacing w:val="-2"/>
        </w:rPr>
        <w:t>78236</w:t>
      </w:r>
    </w:p>
    <w:p>
      <w:pPr>
        <w:pStyle w:val="BodyText"/>
      </w:pPr>
    </w:p>
    <w:p>
      <w:pPr>
        <w:pStyle w:val="BodyText"/>
        <w:spacing w:before="90"/>
      </w:pPr>
    </w:p>
    <w:p>
      <w:pPr>
        <w:pStyle w:val="Heading1"/>
      </w:pPr>
      <w:r>
        <w:rPr>
          <w:smallCaps/>
          <w:color w:val="F5F5F5"/>
          <w:spacing w:val="-4"/>
        </w:rPr>
        <w:t>Key</w:t>
      </w:r>
      <w:r>
        <w:rPr>
          <w:smallCaps/>
          <w:color w:val="F5F5F5"/>
          <w:spacing w:val="-16"/>
        </w:rPr>
        <w:t> </w:t>
      </w:r>
      <w:r>
        <w:rPr>
          <w:smallCaps/>
          <w:color w:val="F5F5F5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305" w:after="0"/>
        <w:ind w:left="467" w:right="82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Defense budget execution and appropriations management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9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Government Travel Card (GTC) oversight and reconciliation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0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Military travel reconciliation and year-end closeout</w:t>
      </w:r>
    </w:p>
    <w:p>
      <w:pPr>
        <w:pStyle w:val="ListParagraph"/>
        <w:numPr>
          <w:ilvl w:val="0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163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DoD financial regulations and </w:t>
      </w:r>
      <w:r>
        <w:rPr>
          <w:color w:val="424242"/>
          <w:spacing w:val="-2"/>
          <w:w w:val="105"/>
          <w:sz w:val="16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60" w:after="0"/>
        <w:ind w:left="355" w:right="221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Manage $45 million operations and maintenance budget for Joint Base San Antonio,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overseeing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8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centers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obligation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timelines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meet</w:t>
      </w:r>
    </w:p>
    <w:p>
      <w:pPr>
        <w:pStyle w:val="BodyText"/>
        <w:spacing w:before="40"/>
        <w:ind w:left="355"/>
      </w:pPr>
      <w:r>
        <w:rPr>
          <w:w w:val="105"/>
        </w:rPr>
        <w:t>wing-level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75" w:after="0"/>
        <w:ind w:left="355" w:right="117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internal review processes for budget entry and fund execution,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resulting in 100% audit compliance rating during FY22 and FY23 financial</w:t>
      </w:r>
    </w:p>
    <w:p>
      <w:pPr>
        <w:pStyle w:val="BodyText"/>
        <w:spacing w:before="25"/>
        <w:ind w:left="355"/>
      </w:pPr>
      <w:r>
        <w:rPr>
          <w:spacing w:val="-2"/>
          <w:w w:val="105"/>
        </w:rPr>
        <w:t>reviews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89" w:after="0"/>
        <w:ind w:left="355" w:right="190" w:hanging="298"/>
        <w:jc w:val="left"/>
        <w:rPr>
          <w:position w:val="-4"/>
          <w:sz w:val="31"/>
        </w:rPr>
      </w:pPr>
      <w:r>
        <w:rPr>
          <w:w w:val="105"/>
          <w:sz w:val="18"/>
        </w:rPr>
        <w:t>Train 12 unit resource advisors on budget entry and submission procedures via DEAMS, reducing submission errors by 30% and eliminating late</w:t>
      </w:r>
    </w:p>
    <w:p>
      <w:pPr>
        <w:pStyle w:val="BodyText"/>
        <w:spacing w:before="26"/>
        <w:ind w:left="355"/>
      </w:pPr>
      <w:r>
        <w:rPr>
          <w:w w:val="105"/>
        </w:rPr>
        <w:t>obligation</w:t>
      </w:r>
      <w:r>
        <w:rPr>
          <w:spacing w:val="38"/>
          <w:w w:val="105"/>
        </w:rPr>
        <w:t> </w:t>
      </w:r>
      <w:r>
        <w:rPr>
          <w:spacing w:val="-2"/>
          <w:w w:val="105"/>
        </w:rPr>
        <w:t>transactions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89" w:after="0"/>
        <w:ind w:left="355" w:right="317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 monthly wing-level financial status reports tracking actuals versus authorized levels across O&amp;M, personnel, and travel appropriations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82" w:after="0"/>
        <w:ind w:left="355" w:right="23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 with contracting and logistics to ensure purchase requests 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within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obligation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windows,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on-time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obligation</w:t>
      </w:r>
    </w:p>
    <w:p>
      <w:pPr>
        <w:pStyle w:val="BodyText"/>
        <w:spacing w:before="25"/>
        <w:ind w:left="355"/>
      </w:pPr>
      <w:r>
        <w:rPr>
          <w:w w:val="105"/>
        </w:rPr>
        <w:t>rate</w:t>
      </w:r>
      <w:r>
        <w:rPr>
          <w:spacing w:val="10"/>
          <w:w w:val="105"/>
        </w:rPr>
        <w:t> </w:t>
      </w:r>
      <w:r>
        <w:rPr>
          <w:w w:val="105"/>
        </w:rPr>
        <w:t>across</w:t>
      </w:r>
      <w:r>
        <w:rPr>
          <w:spacing w:val="12"/>
          <w:w w:val="105"/>
        </w:rPr>
        <w:t> </w:t>
      </w:r>
      <w:r>
        <w:rPr>
          <w:w w:val="105"/>
        </w:rPr>
        <w:t>all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accounts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90" w:after="0"/>
        <w:ind w:left="355" w:right="513" w:hanging="298"/>
        <w:jc w:val="left"/>
        <w:rPr>
          <w:position w:val="-4"/>
          <w:sz w:val="31"/>
        </w:rPr>
      </w:pPr>
      <w:r>
        <w:rPr>
          <w:w w:val="105"/>
          <w:sz w:val="18"/>
        </w:rPr>
        <w:t>Provide budget execution briefings to squadron commanders and wing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leadership,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translating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financial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operational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terms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decision-</w:t>
      </w:r>
    </w:p>
    <w:p>
      <w:pPr>
        <w:pStyle w:val="BodyText"/>
        <w:spacing w:before="25"/>
        <w:ind w:left="355"/>
      </w:pPr>
      <w:r>
        <w:rPr>
          <w:spacing w:val="-2"/>
          <w:w w:val="105"/>
        </w:rPr>
        <w:t>making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2913" w:space="1197"/>
            <w:col w:w="7102"/>
          </w:cols>
        </w:sectPr>
      </w:pP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14" w:after="0"/>
        <w:ind w:left="467" w:right="427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Wing-level reporting and unit </w:t>
      </w:r>
      <w:r>
        <w:rPr>
          <w:color w:val="424242"/>
          <w:spacing w:val="-2"/>
          <w:w w:val="105"/>
          <w:sz w:val="16"/>
        </w:rPr>
        <w:t>briefings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100" w:after="0"/>
        <w:ind w:left="467" w:right="748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DEAMS financial system </w:t>
      </w:r>
      <w:r>
        <w:rPr>
          <w:color w:val="424242"/>
          <w:spacing w:val="-2"/>
          <w:w w:val="105"/>
          <w:sz w:val="16"/>
        </w:rPr>
        <w:t>operations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44" w:after="0"/>
        <w:ind w:left="466" w:right="0" w:hanging="296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Fiscal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year-end</w:t>
      </w:r>
      <w:r>
        <w:rPr>
          <w:color w:val="424242"/>
          <w:spacing w:val="21"/>
          <w:w w:val="105"/>
          <w:sz w:val="16"/>
        </w:rPr>
        <w:t> </w:t>
      </w:r>
      <w:r>
        <w:rPr>
          <w:color w:val="424242"/>
          <w:w w:val="105"/>
          <w:sz w:val="16"/>
        </w:rPr>
        <w:t>obligation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tracking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27" w:after="0"/>
        <w:ind w:left="467" w:right="367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Internal audit preparation and compliance review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99" w:after="0"/>
        <w:ind w:left="467" w:right="334" w:hanging="298"/>
        <w:jc w:val="left"/>
        <w:rPr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Resource advisor training and financial policy instruction</w:t>
      </w:r>
    </w:p>
    <w:p>
      <w:pPr>
        <w:pStyle w:val="BodyText"/>
        <w:rPr>
          <w:sz w:val="16"/>
        </w:rPr>
      </w:pPr>
    </w:p>
    <w:p>
      <w:pPr>
        <w:pStyle w:val="BodyText"/>
        <w:spacing w:before="133"/>
        <w:rPr>
          <w:sz w:val="16"/>
        </w:rPr>
      </w:pP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line="268" w:lineRule="auto" w:before="94"/>
        <w:ind w:left="58" w:right="334"/>
      </w:pPr>
      <w:r>
        <w:rPr/>
        <w:br w:type="column"/>
      </w:r>
      <w:r>
        <w:rPr>
          <w:w w:val="105"/>
        </w:rPr>
        <w:t>Financial Management Specialist </w:t>
      </w:r>
      <w:r>
        <w:rPr>
          <w:w w:val="105"/>
          <w:position w:val="2"/>
        </w:rPr>
        <w:t>| </w:t>
      </w:r>
      <w:r>
        <w:rPr>
          <w:w w:val="105"/>
        </w:rPr>
        <w:t>United States Air Force – 81st Training Wing, Keesler AFB, MS</w:t>
      </w:r>
    </w:p>
    <w:p>
      <w:pPr>
        <w:pStyle w:val="BodyText"/>
        <w:spacing w:before="8"/>
        <w:ind w:left="58"/>
      </w:pPr>
      <w:r>
        <w:rPr>
          <w:w w:val="105"/>
        </w:rPr>
        <w:t>August</w:t>
      </w:r>
      <w:r>
        <w:rPr>
          <w:spacing w:val="8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–</w:t>
      </w:r>
      <w:r>
        <w:rPr>
          <w:spacing w:val="8"/>
          <w:w w:val="105"/>
        </w:rPr>
        <w:t> </w:t>
      </w:r>
      <w:r>
        <w:rPr>
          <w:w w:val="105"/>
        </w:rPr>
        <w:t>February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189" w:lineRule="auto" w:before="132" w:after="0"/>
        <w:ind w:left="523" w:right="303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Prepared fiscal year-end closeout plans, ensuring all funds were obligated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accurately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5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appropriation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zero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expired</w:t>
      </w:r>
    </w:p>
    <w:p>
      <w:pPr>
        <w:pStyle w:val="BodyText"/>
        <w:spacing w:before="41"/>
        <w:ind w:left="523"/>
      </w:pPr>
      <w:r>
        <w:rPr>
          <w:w w:val="105"/>
        </w:rPr>
        <w:t>unobligated</w:t>
      </w:r>
      <w:r>
        <w:rPr>
          <w:spacing w:val="47"/>
          <w:w w:val="105"/>
        </w:rPr>
        <w:t> </w:t>
      </w:r>
      <w:r>
        <w:rPr>
          <w:spacing w:val="-2"/>
          <w:w w:val="105"/>
        </w:rPr>
        <w:t>balances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189" w:lineRule="auto" w:before="102" w:after="0"/>
        <w:ind w:left="523" w:right="51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Reconciled 1,200+ GTC transactions quarterly with zero late payment violations,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cardholder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records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coordinating</w:t>
      </w:r>
    </w:p>
    <w:p>
      <w:pPr>
        <w:pStyle w:val="BodyText"/>
        <w:spacing w:before="41"/>
        <w:ind w:left="523"/>
      </w:pPr>
      <w:r>
        <w:rPr>
          <w:w w:val="105"/>
        </w:rPr>
        <w:t>delinquency</w:t>
      </w:r>
      <w:r>
        <w:rPr>
          <w:spacing w:val="47"/>
          <w:w w:val="105"/>
        </w:rPr>
        <w:t> </w:t>
      </w:r>
      <w:r>
        <w:rPr>
          <w:spacing w:val="-2"/>
          <w:w w:val="105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189" w:lineRule="auto" w:before="102" w:after="0"/>
        <w:ind w:left="523" w:right="379" w:hanging="298"/>
        <w:jc w:val="left"/>
        <w:rPr>
          <w:position w:val="-4"/>
          <w:sz w:val="31"/>
        </w:rPr>
      </w:pPr>
      <w:r>
        <w:rPr>
          <w:w w:val="105"/>
          <w:sz w:val="18"/>
        </w:rPr>
        <w:t>Drafted financial impact statements for unit relocation planning, providing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analysis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leadership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decisions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personnel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</w:p>
    <w:p>
      <w:pPr>
        <w:pStyle w:val="BodyText"/>
        <w:spacing w:before="41"/>
        <w:ind w:left="523"/>
      </w:pPr>
      <w:r>
        <w:rPr>
          <w:w w:val="105"/>
        </w:rPr>
        <w:t>equipment</w:t>
      </w:r>
      <w:r>
        <w:rPr>
          <w:spacing w:val="33"/>
          <w:w w:val="105"/>
        </w:rPr>
        <w:t> </w:t>
      </w:r>
      <w:r>
        <w:rPr>
          <w:spacing w:val="-2"/>
          <w:w w:val="105"/>
        </w:rPr>
        <w:t>moves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425" w:right="283"/>
          <w:cols w:num="2" w:equalWidth="0">
            <w:col w:w="3121" w:space="822"/>
            <w:col w:w="7269"/>
          </w:cols>
        </w:sectPr>
      </w:pPr>
    </w:p>
    <w:p>
      <w:pPr>
        <w:pStyle w:val="BodyText"/>
        <w:spacing w:before="147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10296523"/>
                            <a:ext cx="22669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09575">
                                <a:moveTo>
                                  <a:pt x="0" y="409574"/>
                                </a:moveTo>
                                <a:lnTo>
                                  <a:pt x="2266949" y="4095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2A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80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800350">
                                <a:moveTo>
                                  <a:pt x="7568183" y="2800349"/>
                                </a:moveTo>
                                <a:lnTo>
                                  <a:pt x="0" y="2800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800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800349"/>
                            <a:ext cx="2266950" cy="749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496175">
                                <a:moveTo>
                                  <a:pt x="2266950" y="6267450"/>
                                </a:moveTo>
                                <a:lnTo>
                                  <a:pt x="0" y="6267450"/>
                                </a:lnTo>
                                <a:lnTo>
                                  <a:pt x="0" y="7496175"/>
                                </a:lnTo>
                                <a:lnTo>
                                  <a:pt x="2266950" y="7496175"/>
                                </a:lnTo>
                                <a:lnTo>
                                  <a:pt x="2266950" y="6267450"/>
                                </a:lnTo>
                                <a:close/>
                              </a:path>
                              <a:path w="2266950" h="7496175">
                                <a:moveTo>
                                  <a:pt x="2266950" y="2771775"/>
                                </a:moveTo>
                                <a:lnTo>
                                  <a:pt x="0" y="2771775"/>
                                </a:lnTo>
                                <a:lnTo>
                                  <a:pt x="0" y="5829300"/>
                                </a:lnTo>
                                <a:lnTo>
                                  <a:pt x="2266950" y="5829300"/>
                                </a:lnTo>
                                <a:lnTo>
                                  <a:pt x="2266950" y="2771775"/>
                                </a:lnTo>
                                <a:close/>
                              </a:path>
                              <a:path w="2266950" h="7496175">
                                <a:moveTo>
                                  <a:pt x="2266950" y="838200"/>
                                </a:moveTo>
                                <a:lnTo>
                                  <a:pt x="0" y="838200"/>
                                </a:lnTo>
                                <a:lnTo>
                                  <a:pt x="0" y="2343150"/>
                                </a:lnTo>
                                <a:lnTo>
                                  <a:pt x="2266950" y="2343150"/>
                                </a:lnTo>
                                <a:lnTo>
                                  <a:pt x="2266950" y="838200"/>
                                </a:lnTo>
                                <a:close/>
                              </a:path>
                              <a:path w="2266950" h="74961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2A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0039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2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63321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76237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862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45794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78154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1434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2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568695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8629649"/>
                            <a:ext cx="2552700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38150">
                                <a:moveTo>
                                  <a:pt x="2552699" y="438149"/>
                                </a:moveTo>
                                <a:lnTo>
                                  <a:pt x="0" y="4381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2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9064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8032" id="docshapegroup1" coordorigin="0,0" coordsize="11919,16860">
                <v:rect style="position:absolute;left:255;top:16215;width:3570;height:645" id="docshape2" filled="true" fillcolor="#7da2ac" stroked="false">
                  <v:fill opacity="32899f" type="solid"/>
                </v:rect>
                <v:rect style="position:absolute;left:0;top:0;width:11919;height:4410" id="docshape3" filled="true" fillcolor="#424242" stroked="false">
                  <v:fill type="solid"/>
                </v:rect>
                <v:shape style="position:absolute;left:254;top:4410;width:3570;height:11805" id="docshape4" coordorigin="255,4410" coordsize="3570,11805" path="m3825,14280l255,14280,255,16215,3825,16215,3825,14280xm3825,8775l255,8775,255,13590,3825,13590,3825,8775xm3825,5730l255,5730,255,8100,3825,8100,3825,5730xm3825,4410l255,4410,255,5040,3825,5040,3825,4410xe" filled="true" fillcolor="#7da2ac" stroked="false">
                  <v:path arrowok="t"/>
                  <v:fill opacity="32899f" type="solid"/>
                </v:shape>
                <v:rect style="position:absolute;left:0;top:5040;width:4020;height:690" id="docshape5" filled="true" fillcolor="#7da2ac" stroked="false">
                  <v:fill type="solid"/>
                </v:rect>
                <v:shape style="position:absolute;left:3825;top:5721;width:197;height:404" type="#_x0000_t75" id="docshape6" stroked="false">
                  <v:imagedata r:id="rId6" o:title=""/>
                </v:shape>
                <v:shape style="position:absolute;left:600;top:5925;width:255;height:261" type="#_x0000_t75" id="docshape7" stroked="false">
                  <v:imagedata r:id="rId7" o:title=""/>
                </v:shape>
                <v:shape style="position:absolute;left:600;top:6435;width:255;height:300" type="#_x0000_t75" id="docshape8" stroked="false">
                  <v:imagedata r:id="rId8" o:title=""/>
                </v:shape>
                <v:shape style="position:absolute;left:600;top:7020;width:256;height:226" type="#_x0000_t75" id="docshape9" stroked="false">
                  <v:imagedata r:id="rId9" o:title=""/>
                </v:shape>
                <v:shape style="position:absolute;left:600;top:7530;width:255;height:263" type="#_x0000_t75" id="docshape10" stroked="false">
                  <v:imagedata r:id="rId10" o:title=""/>
                </v:shape>
                <v:rect style="position:absolute;left:0;top:8100;width:4020;height:675" id="docshape11" filled="true" fillcolor="#7da2ac" stroked="false">
                  <v:fill type="solid"/>
                </v:rect>
                <v:shape style="position:absolute;left:3825;top:8769;width:197;height:404" type="#_x0000_t75" id="docshape12" stroked="false">
                  <v:imagedata r:id="rId11" o:title=""/>
                </v:shape>
                <v:rect style="position:absolute;left:0;top:13590;width:4020;height:690" id="docshape13" filled="true" fillcolor="#7da2ac" stroked="false">
                  <v:fill type="solid"/>
                </v:rect>
                <v:shape style="position:absolute;left:3825;top:14275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line="273" w:lineRule="auto" w:before="0"/>
        <w:ind w:left="170" w:right="7149" w:firstLine="0"/>
        <w:jc w:val="left"/>
        <w:rPr>
          <w:sz w:val="16"/>
        </w:rPr>
      </w:pPr>
      <w:r>
        <w:rPr>
          <w:color w:val="424242"/>
          <w:w w:val="105"/>
          <w:sz w:val="16"/>
        </w:rPr>
        <w:t>Bachelor of Science (B.S.) in Business </w:t>
      </w:r>
      <w:r>
        <w:rPr>
          <w:color w:val="424242"/>
          <w:spacing w:val="-2"/>
          <w:w w:val="105"/>
          <w:sz w:val="16"/>
        </w:rPr>
        <w:t>Administration</w:t>
      </w:r>
    </w:p>
    <w:p>
      <w:pPr>
        <w:spacing w:line="273" w:lineRule="auto" w:before="1"/>
        <w:ind w:left="170" w:right="8298" w:firstLine="0"/>
        <w:jc w:val="left"/>
        <w:rPr>
          <w:sz w:val="16"/>
        </w:rPr>
      </w:pPr>
      <w:r>
        <w:rPr>
          <w:color w:val="424242"/>
          <w:w w:val="105"/>
          <w:sz w:val="16"/>
        </w:rPr>
        <w:t>Park University, San Antonio, TX May 2017</w:t>
      </w:r>
    </w:p>
    <w:p>
      <w:pPr>
        <w:spacing w:after="0" w:line="273" w:lineRule="auto"/>
        <w:jc w:val="left"/>
        <w:rPr>
          <w:sz w:val="16"/>
        </w:rPr>
        <w:sectPr>
          <w:type w:val="continuous"/>
          <w:pgSz w:w="11920" w:h="16860"/>
          <w:pgMar w:top="780" w:bottom="280" w:left="425" w:right="283"/>
        </w:sectPr>
      </w:pPr>
    </w:p>
    <w:p>
      <w:pPr>
        <w:pStyle w:val="BodyText"/>
        <w:spacing w:before="4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161924</wp:posOffset>
                </wp:positionH>
                <wp:positionV relativeFrom="page">
                  <wp:posOffset>0</wp:posOffset>
                </wp:positionV>
                <wp:extent cx="2266950" cy="1070610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2266950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66950" h="10706100">
                              <a:moveTo>
                                <a:pt x="2266949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266949" y="0"/>
                              </a:lnTo>
                              <a:lnTo>
                                <a:pt x="2266949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DA2AC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2.749999pt;margin-top:.000005pt;width:178.499986pt;height:842.999933pt;mso-position-horizontal-relative:page;mso-position-vertical-relative:page;z-index:15729152" id="docshape15" filled="true" fillcolor="#7da2ac" stroked="false">
                <v:fill opacity="32899f"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4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307" w:lineRule="exact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6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2026-03-12T15:10:01Z</dcterms:created>
  <dcterms:modified xsi:type="dcterms:W3CDTF">2026-03-12T15:10:01Z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