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48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Casey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Davis</w:t>
      </w:r>
    </w:p>
    <w:p>
      <w:pPr>
        <w:pStyle w:val="Heading2"/>
      </w:pPr>
      <w:r>
        <w:rPr>
          <w:color w:val="FFFFFF"/>
        </w:rPr>
        <w:t>Enterprise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Architect</w:t>
      </w:r>
    </w:p>
    <w:p>
      <w:pPr>
        <w:spacing w:line="273" w:lineRule="auto" w:before="199"/>
        <w:ind w:left="448" w:right="359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Enterprise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12+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strategy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goals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 Fortune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500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legacy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modernization,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migration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governance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frameworks including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TOGAF.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25–30%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gains,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costs,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transformation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283"/>
        </w:sectPr>
      </w:pPr>
    </w:p>
    <w:p>
      <w:pPr>
        <w:pStyle w:val="BodyText"/>
        <w:spacing w:before="227"/>
        <w:rPr>
          <w:sz w:val="24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  <w:r>
        <w:rPr>
          <w:smallCaps/>
          <w:color w:val="F5F5F5"/>
          <w:spacing w:val="-15"/>
        </w:rPr>
        <w:t> </w:t>
      </w:r>
      <w:r>
        <w:rPr>
          <w:smallCaps/>
          <w:color w:val="F5F5F5"/>
          <w:spacing w:val="-4"/>
        </w:rPr>
        <w:t>Information</w:t>
      </w:r>
    </w:p>
    <w:p>
      <w:pPr>
        <w:spacing w:before="53"/>
        <w:ind w:left="5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mallCaps/>
          <w:color w:val="45818F"/>
          <w:spacing w:val="-2"/>
          <w:sz w:val="31"/>
        </w:rPr>
        <w:t>Professional Experience</w:t>
      </w:r>
    </w:p>
    <w:p>
      <w:pPr>
        <w:pStyle w:val="BodyText"/>
        <w:spacing w:before="3"/>
        <w:rPr>
          <w:b/>
          <w:sz w:val="24"/>
        </w:rPr>
      </w:pPr>
    </w:p>
    <w:p>
      <w:pPr>
        <w:pStyle w:val="BodyText"/>
        <w:spacing w:line="268" w:lineRule="auto"/>
        <w:ind w:left="170" w:right="2521"/>
      </w:pPr>
      <w:r>
        <w:rPr>
          <w:w w:val="105"/>
        </w:rPr>
        <w:t>Lead Enterprise</w:t>
      </w:r>
      <w:r>
        <w:rPr>
          <w:spacing w:val="-3"/>
          <w:w w:val="105"/>
        </w:rPr>
        <w:t> </w:t>
      </w:r>
      <w:r>
        <w:rPr>
          <w:w w:val="105"/>
        </w:rPr>
        <w:t>Architect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Oracle , San Jose, CA March 2016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3128" w:space="704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line="609" w:lineRule="auto" w:before="1"/>
        <w:ind w:left="597" w:right="684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San Jose, CA</w:t>
      </w:r>
    </w:p>
    <w:p>
      <w:pPr>
        <w:pStyle w:val="Heading1"/>
        <w:spacing w:before="116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08"/>
        <w:rPr>
          <w:b/>
          <w:sz w:val="24"/>
        </w:rPr>
      </w:pP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Master of Science in Enterprise </w:t>
      </w:r>
      <w:r>
        <w:rPr>
          <w:color w:val="424242"/>
          <w:spacing w:val="-2"/>
          <w:w w:val="105"/>
          <w:sz w:val="16"/>
        </w:rPr>
        <w:t>Architecture</w:t>
      </w:r>
    </w:p>
    <w:p>
      <w:pPr>
        <w:spacing w:line="273" w:lineRule="auto" w:before="1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Carnegie Mellon University , Pittsburgh, PA</w:t>
      </w:r>
    </w:p>
    <w:p>
      <w:pPr>
        <w:pStyle w:val="BodyText"/>
        <w:spacing w:before="101"/>
        <w:rPr>
          <w:sz w:val="16"/>
        </w:rPr>
      </w:pPr>
    </w:p>
    <w:p>
      <w:pPr>
        <w:spacing w:line="273" w:lineRule="auto" w:before="1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Information </w:t>
      </w:r>
      <w:r>
        <w:rPr>
          <w:color w:val="424242"/>
          <w:spacing w:val="-2"/>
          <w:w w:val="105"/>
          <w:sz w:val="16"/>
        </w:rPr>
        <w:t>Technology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of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Florida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,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Gainesville,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5"/>
          <w:w w:val="105"/>
          <w:sz w:val="16"/>
        </w:rPr>
        <w:t>FL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90" w:after="0"/>
        <w:ind w:left="355" w:right="11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Spearheaded 3 digital transformation programs for Oracle enterprise clients,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</w:t>
      </w:r>
    </w:p>
    <w:p>
      <w:pPr>
        <w:pStyle w:val="BodyText"/>
        <w:spacing w:before="39"/>
        <w:ind w:left="355"/>
      </w:pPr>
      <w:r>
        <w:rPr>
          <w:w w:val="105"/>
        </w:rPr>
        <w:t>automation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system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consolidation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4" w:after="0"/>
        <w:ind w:left="355" w:right="220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scalable architecture models that led to 30% reduction in IT infrastructure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costs,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combined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$12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through</w:t>
      </w:r>
    </w:p>
    <w:p>
      <w:pPr>
        <w:pStyle w:val="BodyText"/>
        <w:spacing w:before="40"/>
        <w:ind w:left="355"/>
      </w:pPr>
      <w:r>
        <w:rPr>
          <w:w w:val="105"/>
        </w:rPr>
        <w:t>cloud</w:t>
      </w:r>
      <w:r>
        <w:rPr>
          <w:spacing w:val="25"/>
          <w:w w:val="105"/>
        </w:rPr>
        <w:t> </w:t>
      </w:r>
      <w:r>
        <w:rPr>
          <w:w w:val="105"/>
        </w:rPr>
        <w:t>migration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platform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rationalization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5" w:after="0"/>
        <w:ind w:left="355" w:right="12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directly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C-suite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align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5-year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roadmaps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goals,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$18</w:t>
      </w:r>
    </w:p>
    <w:p>
      <w:pPr>
        <w:pStyle w:val="BodyText"/>
        <w:spacing w:before="25"/>
        <w:ind w:left="355"/>
      </w:pPr>
      <w:r>
        <w:rPr/>
        <w:t>million</w:t>
      </w:r>
      <w:r>
        <w:rPr>
          <w:spacing w:val="39"/>
        </w:rPr>
        <w:t> </w:t>
      </w:r>
      <w:r>
        <w:rPr/>
        <w:t>in</w:t>
      </w:r>
      <w:r>
        <w:rPr>
          <w:spacing w:val="40"/>
        </w:rPr>
        <w:t> </w:t>
      </w:r>
      <w:r>
        <w:rPr/>
        <w:t>IT</w:t>
      </w:r>
      <w:r>
        <w:rPr>
          <w:spacing w:val="39"/>
        </w:rPr>
        <w:t> </w:t>
      </w:r>
      <w:r>
        <w:rPr/>
        <w:t>modernization</w:t>
      </w:r>
      <w:r>
        <w:rPr>
          <w:spacing w:val="40"/>
        </w:rPr>
        <w:t> </w:t>
      </w:r>
      <w:r>
        <w:rPr>
          <w:spacing w:val="-2"/>
        </w:rPr>
        <w:t>investments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90" w:after="0"/>
        <w:ind w:left="355" w:right="288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architecture governance reviews for 15+ system designs, establishing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patterns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81" w:after="0"/>
        <w:ind w:left="355" w:right="25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a team of 6 architects and analysts across cloud, data,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architecture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disciplines,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throughput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41"/>
        <w:ind w:left="355"/>
      </w:pPr>
      <w:r>
        <w:rPr>
          <w:spacing w:val="-5"/>
          <w:w w:val="105"/>
        </w:rPr>
        <w:t>40%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4" w:after="0"/>
        <w:ind w:left="355" w:right="40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TOGAF-based reference architecture library of 30+ reusable patterns,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architecture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50%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initiatives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425" w:right="283"/>
          <w:cols w:num="2" w:equalWidth="0">
            <w:col w:w="3023" w:space="1088"/>
            <w:col w:w="7101"/>
          </w:cols>
        </w:sectPr>
      </w:pPr>
    </w:p>
    <w:p>
      <w:pPr>
        <w:pStyle w:val="BodyText"/>
        <w:spacing w:before="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283"/>
        </w:sectPr>
      </w:pPr>
    </w:p>
    <w:p>
      <w:pPr>
        <w:pStyle w:val="Heading1"/>
        <w:spacing w:before="72"/>
      </w:pPr>
      <w:r>
        <w:rPr>
          <w:smallCaps/>
          <w:color w:val="F5F5F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line="268" w:lineRule="auto" w:before="78"/>
        <w:ind w:left="58" w:right="2015"/>
      </w:pPr>
      <w:r>
        <w:rPr/>
        <w:br w:type="column"/>
      </w:r>
      <w:r>
        <w:rPr>
          <w:w w:val="105"/>
        </w:rPr>
        <w:t>Enterprise Systems</w:t>
      </w:r>
      <w:r>
        <w:rPr>
          <w:spacing w:val="-3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Cisco Systems , San Jose, CA June 2011 – February 2016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425" w:right="283"/>
          <w:cols w:num="2" w:equalWidth="0">
            <w:col w:w="1626" w:space="2317"/>
            <w:col w:w="7269"/>
          </w:cols>
        </w:sectPr>
      </w:pPr>
    </w:p>
    <w:p>
      <w:pPr>
        <w:pStyle w:val="BodyText"/>
        <w:spacing w:before="27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0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Enterprise architecture frameworks (TOGAF, Zachman)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100" w:after="0"/>
        <w:ind w:left="467" w:right="40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IT governance and technology roadmap development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7" w:after="0"/>
        <w:ind w:left="467" w:right="103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Legacy system modernization and cloud migration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226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Business architecture and digital transformation strategy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193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Cross-functional team leadership and stakeholder alignment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9" w:lineRule="auto" w:before="106" w:after="0"/>
        <w:ind w:left="467" w:right="5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 architecture reviews and redesign of 4 core enterprise systems 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ERP, CRM, and supply chain platforms, reducing system complexity by 35%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98" w:after="0"/>
        <w:ind w:left="467" w:right="41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Improved integration between 6 business units by standardizing internal APIs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exchange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60%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4" w:lineRule="auto" w:before="77" w:after="0"/>
        <w:ind w:left="467" w:right="231" w:hanging="298"/>
        <w:jc w:val="left"/>
        <w:rPr>
          <w:position w:val="-2"/>
          <w:sz w:val="31"/>
        </w:rPr>
      </w:pPr>
      <w:r>
        <w:rPr>
          <w:w w:val="105"/>
          <w:sz w:val="18"/>
        </w:rPr>
        <w:t>Supported enterprise architecture transition from Cisco-proprietary stack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TOGAF-aligned model, completing transition across 3 business units in 18</w:t>
      </w:r>
    </w:p>
    <w:p>
      <w:pPr>
        <w:pStyle w:val="BodyText"/>
        <w:spacing w:before="39"/>
        <w:ind w:left="467"/>
      </w:pPr>
      <w:r>
        <w:rPr>
          <w:spacing w:val="-2"/>
          <w:w w:val="105"/>
        </w:rPr>
        <w:t>months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01" w:lineRule="auto" w:before="75" w:after="0"/>
        <w:ind w:left="467" w:right="412" w:hanging="298"/>
        <w:jc w:val="left"/>
        <w:rPr>
          <w:position w:val="-4"/>
          <w:sz w:val="31"/>
        </w:rPr>
      </w:pPr>
      <w:r>
        <w:rPr>
          <w:w w:val="105"/>
          <w:sz w:val="18"/>
        </w:rPr>
        <w:t>Delivered 10+ architecture assessments for new technology investments, informing $25 million in annual IT budget allocation decisions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425" w:right="283"/>
          <w:cols w:num="2" w:equalWidth="0">
            <w:col w:w="3213" w:space="786"/>
            <w:col w:w="7213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Systems integration and API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Heading1"/>
        <w:spacing w:before="44"/>
        <w:ind w:left="170"/>
      </w:pPr>
      <w:r>
        <w:rPr>
          <w:b w:val="0"/>
        </w:rPr>
        <w:br w:type="column"/>
      </w:r>
      <w:r>
        <w:rPr>
          <w:smallCaps/>
          <w:color w:val="45818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425" w:right="283"/>
          <w:cols w:num="2" w:equalWidth="0">
            <w:col w:w="2697" w:space="1023"/>
            <w:col w:w="7492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896474"/>
                            <a:ext cx="226695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809625">
                                <a:moveTo>
                                  <a:pt x="0" y="809624"/>
                                </a:moveTo>
                                <a:lnTo>
                                  <a:pt x="2266949" y="8096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09849"/>
                            <a:ext cx="2266950" cy="728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286625">
                                <a:moveTo>
                                  <a:pt x="2266950" y="4191000"/>
                                </a:moveTo>
                                <a:lnTo>
                                  <a:pt x="0" y="4191000"/>
                                </a:lnTo>
                                <a:lnTo>
                                  <a:pt x="0" y="7286625"/>
                                </a:lnTo>
                                <a:lnTo>
                                  <a:pt x="2266950" y="7286625"/>
                                </a:lnTo>
                                <a:lnTo>
                                  <a:pt x="2266950" y="4191000"/>
                                </a:lnTo>
                                <a:close/>
                              </a:path>
                              <a:path w="2266950" h="7286625">
                                <a:moveTo>
                                  <a:pt x="2266950" y="2352675"/>
                                </a:moveTo>
                                <a:lnTo>
                                  <a:pt x="0" y="2352675"/>
                                </a:lnTo>
                                <a:lnTo>
                                  <a:pt x="0" y="3781425"/>
                                </a:lnTo>
                                <a:lnTo>
                                  <a:pt x="2266950" y="3781425"/>
                                </a:lnTo>
                                <a:lnTo>
                                  <a:pt x="2266950" y="2352675"/>
                                </a:lnTo>
                                <a:close/>
                              </a:path>
                              <a:path w="2266950" h="7286625">
                                <a:moveTo>
                                  <a:pt x="2266950" y="800100"/>
                                </a:moveTo>
                                <a:lnTo>
                                  <a:pt x="0" y="800100"/>
                                </a:lnTo>
                                <a:lnTo>
                                  <a:pt x="0" y="1952625"/>
                                </a:lnTo>
                                <a:lnTo>
                                  <a:pt x="2266950" y="1952625"/>
                                </a:lnTo>
                                <a:lnTo>
                                  <a:pt x="2266950" y="800100"/>
                                </a:lnTo>
                                <a:close/>
                              </a:path>
                              <a:path w="2266950" h="72866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0989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29493" y="3407473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543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67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2100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5624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29493" y="4960048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6391274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29493" y="6798372"/>
                            <a:ext cx="123189" cy="2527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252729">
                                <a:moveTo>
                                  <a:pt x="0" y="252602"/>
                                </a:moveTo>
                                <a:lnTo>
                                  <a:pt x="0" y="0"/>
                                </a:lnTo>
                                <a:lnTo>
                                  <a:pt x="122586" y="0"/>
                                </a:lnTo>
                                <a:lnTo>
                                  <a:pt x="0" y="2526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50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255;top:15585;width:3570;height:1275" id="docshape2" filled="true" fillcolor="#a2c2c7" stroked="false">
                  <v:fill type="solid"/>
                </v:rect>
                <v:rect style="position:absolute;left:0;top:0;width:11919;height:4110" id="docshape3" filled="true" fillcolor="#424242" stroked="false">
                  <v:fill type="solid"/>
                </v:rect>
                <v:shape style="position:absolute;left:254;top:4110;width:3570;height:11475" id="docshape4" coordorigin="255,4110" coordsize="3570,11475" path="m3825,10710l255,10710,255,15585,3825,15585,3825,10710xm3825,7815l255,7815,255,10065,3825,10065,3825,7815xm3825,5370l255,5370,255,7185,3825,7185,3825,5370xm3825,4110l255,4110,255,4740,3825,4740,3825,4110xe" filled="true" fillcolor="#a2c2c7" stroked="false">
                  <v:path arrowok="t"/>
                  <v:fill type="solid"/>
                </v:shape>
                <v:rect style="position:absolute;left:0;top:4740;width:4020;height:630" id="docshape5" filled="true" fillcolor="#45818f" stroked="false">
                  <v:fill type="solid"/>
                </v:rect>
                <v:shape style="position:absolute;left:3825;top:5366;width:194;height:398" id="docshape6" coordorigin="3826,5366" coordsize="194,398" path="m3826,5764l3826,5366,4019,5366,3826,5764xe" filled="true" fillcolor="#12505d" stroked="false">
                  <v:path arrowok="t"/>
                  <v:fill type="solid"/>
                </v:shape>
                <v:shape style="position:absolute;left:600;top:5580;width:255;height:255" type="#_x0000_t75" id="docshape7" stroked="false">
                  <v:imagedata r:id="rId6" o:title=""/>
                </v:shape>
                <v:shape style="position:absolute;left:600;top:6090;width:255;height:300" type="#_x0000_t75" id="docshape8" stroked="false">
                  <v:imagedata r:id="rId7" o:title=""/>
                </v:shape>
                <v:shape style="position:absolute;left:600;top:6630;width:255;height:255" type="#_x0000_t75" id="docshape9" stroked="false">
                  <v:imagedata r:id="rId8" o:title=""/>
                </v:shape>
                <v:rect style="position:absolute;left:0;top:7185;width:4020;height:630" id="docshape10" filled="true" fillcolor="#45818f" stroked="false">
                  <v:fill type="solid"/>
                </v:rect>
                <v:shape style="position:absolute;left:3825;top:7811;width:194;height:398" id="docshape11" coordorigin="3826,7811" coordsize="194,398" path="m3826,8209l3826,7811,4019,7811,3826,8209xe" filled="true" fillcolor="#12505d" stroked="false">
                  <v:path arrowok="t"/>
                  <v:fill type="solid"/>
                </v:shape>
                <v:rect style="position:absolute;left:0;top:10065;width:4020;height:645" id="docshape12" filled="true" fillcolor="#45818f" stroked="false">
                  <v:fill type="solid"/>
                </v:rect>
                <v:shape style="position:absolute;left:3825;top:10706;width:194;height:398" id="docshape13" coordorigin="3826,10706" coordsize="194,398" path="m3826,11104l3826,10706,4019,10706,3826,11104xe" filled="true" fillcolor="#12505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Risk management and compliance </w:t>
      </w:r>
      <w:r>
        <w:rPr>
          <w:color w:val="424242"/>
          <w:spacing w:val="-2"/>
          <w:w w:val="105"/>
          <w:sz w:val="16"/>
        </w:rPr>
        <w:t>frameworks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15" w:after="0"/>
        <w:ind w:left="467" w:right="207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Data architecture and enterprise data governance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6" w:lineRule="exact" w:before="109" w:after="0"/>
        <w:ind w:left="46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TOGAF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Group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6" w:lineRule="exact" w:before="0" w:after="0"/>
        <w:ind w:left="4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(CISA)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IASA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Global</w:t>
      </w:r>
    </w:p>
    <w:sectPr>
      <w:type w:val="continuous"/>
      <w:pgSz w:w="11920" w:h="16860"/>
      <w:pgMar w:top="820" w:bottom="280" w:left="425" w:right="283"/>
      <w:cols w:num="2" w:equalWidth="0">
        <w:col w:w="3172" w:space="659"/>
        <w:col w:w="73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6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2026-03-22T02:54:08Z</dcterms:created>
  <dcterms:modified xsi:type="dcterms:W3CDTF">2026-03-22T02:54:08Z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