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15"/>
        <w:rPr>
          <w:rFonts w:ascii="Times New Roman"/>
          <w:sz w:val="82"/>
        </w:rPr>
      </w:pPr>
    </w:p>
    <w:p>
      <w:pPr>
        <w:spacing w:before="0"/>
        <w:ind w:left="17" w:right="0" w:firstLine="0"/>
        <w:jc w:val="left"/>
        <w:rPr>
          <w:rFonts w:ascii="Microsoft Sans Serif"/>
          <w:sz w:val="82"/>
        </w:rPr>
      </w:pPr>
      <w:r>
        <w:rPr>
          <w:rFonts w:ascii="Arial"/>
          <w:b/>
          <w:color w:val="0C0C0C"/>
          <w:spacing w:val="10"/>
          <w:sz w:val="82"/>
        </w:rPr>
        <w:t>Alex</w:t>
      </w:r>
      <w:r>
        <w:rPr>
          <w:rFonts w:ascii="Arial"/>
          <w:b/>
          <w:color w:val="0C0C0C"/>
          <w:spacing w:val="37"/>
          <w:sz w:val="82"/>
        </w:rPr>
        <w:t> </w:t>
      </w:r>
      <w:r>
        <w:rPr>
          <w:rFonts w:ascii="Microsoft Sans Serif"/>
          <w:color w:val="0C0C0C"/>
          <w:spacing w:val="-2"/>
          <w:sz w:val="82"/>
        </w:rPr>
        <w:t>Brown</w:t>
      </w:r>
    </w:p>
    <w:p>
      <w:pPr>
        <w:spacing w:before="189"/>
        <w:ind w:left="17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color w:val="0C0C0C"/>
          <w:sz w:val="29"/>
        </w:rPr>
        <w:t>Financial</w:t>
      </w:r>
      <w:r>
        <w:rPr>
          <w:rFonts w:ascii="Microsoft Sans Serif"/>
          <w:color w:val="0C0C0C"/>
          <w:spacing w:val="24"/>
          <w:sz w:val="29"/>
        </w:rPr>
        <w:t> </w:t>
      </w:r>
      <w:r>
        <w:rPr>
          <w:rFonts w:ascii="Microsoft Sans Serif"/>
          <w:color w:val="0C0C0C"/>
          <w:sz w:val="29"/>
        </w:rPr>
        <w:t>Budget</w:t>
      </w:r>
      <w:r>
        <w:rPr>
          <w:rFonts w:ascii="Microsoft Sans Serif"/>
          <w:color w:val="0C0C0C"/>
          <w:spacing w:val="25"/>
          <w:sz w:val="29"/>
        </w:rPr>
        <w:t> </w:t>
      </w:r>
      <w:r>
        <w:rPr>
          <w:rFonts w:ascii="Microsoft Sans Serif"/>
          <w:color w:val="0C0C0C"/>
          <w:spacing w:val="-2"/>
          <w:sz w:val="29"/>
        </w:rPr>
        <w:t>Analyst</w:t>
      </w:r>
    </w:p>
    <w:p>
      <w:pPr>
        <w:spacing w:before="164"/>
        <w:ind w:left="35" w:right="0" w:firstLine="0"/>
        <w:jc w:val="left"/>
        <w:rPr>
          <w:sz w:val="18"/>
        </w:rPr>
      </w:pPr>
      <w:r>
        <w:rPr>
          <w:w w:val="105"/>
          <w:sz w:val="18"/>
        </w:rPr>
        <w:t>(555)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000-0000</w:t>
      </w:r>
      <w:r>
        <w:rPr>
          <w:spacing w:val="31"/>
          <w:w w:val="105"/>
          <w:sz w:val="18"/>
        </w:rPr>
        <w:t> </w:t>
      </w:r>
      <w:r>
        <w:rPr>
          <w:w w:val="105"/>
          <w:sz w:val="13"/>
        </w:rPr>
        <w:t>•</w:t>
      </w:r>
      <w:r>
        <w:rPr>
          <w:spacing w:val="47"/>
          <w:w w:val="105"/>
          <w:sz w:val="13"/>
        </w:rPr>
        <w:t> </w:t>
      </w:r>
      <w:r>
        <w:rPr>
          <w:w w:val="105"/>
          <w:sz w:val="18"/>
        </w:rPr>
        <w:t>Charlotte,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NC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28202</w:t>
      </w:r>
      <w:r>
        <w:rPr>
          <w:spacing w:val="32"/>
          <w:w w:val="105"/>
          <w:sz w:val="18"/>
        </w:rPr>
        <w:t> </w:t>
      </w:r>
      <w:r>
        <w:rPr>
          <w:w w:val="105"/>
          <w:sz w:val="13"/>
        </w:rPr>
        <w:t>•</w:t>
      </w:r>
      <w:r>
        <w:rPr>
          <w:spacing w:val="47"/>
          <w:w w:val="105"/>
          <w:sz w:val="13"/>
        </w:rPr>
        <w:t> </w:t>
      </w:r>
      <w:hyperlink r:id="rId5">
        <w:r>
          <w:rPr>
            <w:w w:val="105"/>
            <w:sz w:val="18"/>
          </w:rPr>
          <w:t>email@example.com</w:t>
        </w:r>
      </w:hyperlink>
      <w:r>
        <w:rPr>
          <w:spacing w:val="31"/>
          <w:w w:val="105"/>
          <w:sz w:val="18"/>
        </w:rPr>
        <w:t> </w:t>
      </w:r>
      <w:r>
        <w:rPr>
          <w:w w:val="105"/>
          <w:sz w:val="13"/>
        </w:rPr>
        <w:t>•</w:t>
      </w:r>
      <w:r>
        <w:rPr>
          <w:spacing w:val="47"/>
          <w:w w:val="105"/>
          <w:sz w:val="13"/>
        </w:rPr>
        <w:t> </w:t>
      </w:r>
      <w:r>
        <w:rPr>
          <w:spacing w:val="-2"/>
          <w:w w:val="105"/>
          <w:sz w:val="18"/>
        </w:rPr>
        <w:t>LinkedIn</w:t>
      </w: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457199</wp:posOffset>
                </wp:positionH>
                <wp:positionV relativeFrom="paragraph">
                  <wp:posOffset>138469</wp:posOffset>
                </wp:positionV>
                <wp:extent cx="68675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10.903093pt;width:540.749957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96"/>
      </w:pPr>
    </w:p>
    <w:p>
      <w:pPr>
        <w:pStyle w:val="BodyText"/>
        <w:spacing w:line="283" w:lineRule="auto"/>
        <w:ind w:left="35" w:right="392"/>
      </w:pPr>
      <w:r>
        <w:rPr>
          <w:w w:val="105"/>
        </w:rPr>
        <w:t>Analytical</w:t>
      </w:r>
      <w:r>
        <w:rPr>
          <w:spacing w:val="40"/>
          <w:w w:val="105"/>
        </w:rPr>
        <w:t> </w:t>
      </w:r>
      <w:r>
        <w:rPr>
          <w:w w:val="105"/>
        </w:rPr>
        <w:t>finance</w:t>
      </w:r>
      <w:r>
        <w:rPr>
          <w:spacing w:val="40"/>
          <w:w w:val="105"/>
        </w:rPr>
        <w:t> </w:t>
      </w:r>
      <w:r>
        <w:rPr>
          <w:w w:val="105"/>
        </w:rPr>
        <w:t>professional</w:t>
      </w:r>
      <w:r>
        <w:rPr>
          <w:spacing w:val="40"/>
          <w:w w:val="105"/>
        </w:rPr>
        <w:t> </w:t>
      </w:r>
      <w:r>
        <w:rPr>
          <w:w w:val="105"/>
        </w:rPr>
        <w:t>with</w:t>
      </w:r>
      <w:r>
        <w:rPr>
          <w:spacing w:val="40"/>
          <w:w w:val="105"/>
        </w:rPr>
        <w:t> </w:t>
      </w:r>
      <w:r>
        <w:rPr>
          <w:w w:val="105"/>
        </w:rPr>
        <w:t>9+</w:t>
      </w:r>
      <w:r>
        <w:rPr>
          <w:spacing w:val="40"/>
          <w:w w:val="105"/>
        </w:rPr>
        <w:t> </w:t>
      </w:r>
      <w:r>
        <w:rPr>
          <w:w w:val="105"/>
        </w:rPr>
        <w:t>years</w:t>
      </w:r>
      <w:r>
        <w:rPr>
          <w:spacing w:val="40"/>
          <w:w w:val="105"/>
        </w:rPr>
        <w:t> </w:t>
      </w:r>
      <w:r>
        <w:rPr>
          <w:w w:val="105"/>
        </w:rPr>
        <w:t>managing</w:t>
      </w:r>
      <w:r>
        <w:rPr>
          <w:spacing w:val="40"/>
          <w:w w:val="105"/>
        </w:rPr>
        <w:t> </w:t>
      </w:r>
      <w:r>
        <w:rPr>
          <w:w w:val="105"/>
        </w:rPr>
        <w:t>corporate</w:t>
      </w:r>
      <w:r>
        <w:rPr>
          <w:spacing w:val="40"/>
          <w:w w:val="105"/>
        </w:rPr>
        <w:t> </w:t>
      </w:r>
      <w:r>
        <w:rPr>
          <w:w w:val="105"/>
        </w:rPr>
        <w:t>department</w:t>
      </w:r>
      <w:r>
        <w:rPr>
          <w:spacing w:val="40"/>
          <w:w w:val="105"/>
        </w:rPr>
        <w:t> </w:t>
      </w:r>
      <w:r>
        <w:rPr>
          <w:w w:val="105"/>
        </w:rPr>
        <w:t>budgets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delivering</w:t>
      </w:r>
      <w:r>
        <w:rPr>
          <w:spacing w:val="40"/>
          <w:w w:val="105"/>
        </w:rPr>
        <w:t> </w:t>
      </w:r>
      <w:r>
        <w:rPr>
          <w:w w:val="105"/>
        </w:rPr>
        <w:t>forecasting</w:t>
      </w:r>
      <w:r>
        <w:rPr>
          <w:spacing w:val="40"/>
          <w:w w:val="105"/>
        </w:rPr>
        <w:t> </w:t>
      </w:r>
      <w:r>
        <w:rPr>
          <w:w w:val="105"/>
        </w:rPr>
        <w:t>that</w:t>
      </w:r>
      <w:r>
        <w:rPr>
          <w:spacing w:val="40"/>
          <w:w w:val="105"/>
        </w:rPr>
        <w:t> </w:t>
      </w:r>
      <w:r>
        <w:rPr>
          <w:w w:val="105"/>
        </w:rPr>
        <w:t>reduces variance</w:t>
      </w:r>
      <w:r>
        <w:rPr>
          <w:spacing w:val="37"/>
          <w:w w:val="105"/>
        </w:rPr>
        <w:t> </w:t>
      </w:r>
      <w:r>
        <w:rPr>
          <w:w w:val="105"/>
        </w:rPr>
        <w:t>and</w:t>
      </w:r>
      <w:r>
        <w:rPr>
          <w:spacing w:val="37"/>
          <w:w w:val="105"/>
        </w:rPr>
        <w:t> </w:t>
      </w:r>
      <w:r>
        <w:rPr>
          <w:w w:val="105"/>
        </w:rPr>
        <w:t>supports</w:t>
      </w:r>
      <w:r>
        <w:rPr>
          <w:spacing w:val="37"/>
          <w:w w:val="105"/>
        </w:rPr>
        <w:t> </w:t>
      </w:r>
      <w:r>
        <w:rPr>
          <w:w w:val="105"/>
        </w:rPr>
        <w:t>executive</w:t>
      </w:r>
      <w:r>
        <w:rPr>
          <w:spacing w:val="37"/>
          <w:w w:val="105"/>
        </w:rPr>
        <w:t> </w:t>
      </w:r>
      <w:r>
        <w:rPr>
          <w:w w:val="105"/>
        </w:rPr>
        <w:t>decision-making.</w:t>
      </w:r>
      <w:r>
        <w:rPr>
          <w:spacing w:val="37"/>
          <w:w w:val="105"/>
        </w:rPr>
        <w:t> </w:t>
      </w:r>
      <w:r>
        <w:rPr>
          <w:w w:val="105"/>
        </w:rPr>
        <w:t>Leads</w:t>
      </w:r>
      <w:r>
        <w:rPr>
          <w:spacing w:val="37"/>
          <w:w w:val="105"/>
        </w:rPr>
        <w:t> </w:t>
      </w:r>
      <w:r>
        <w:rPr>
          <w:w w:val="105"/>
        </w:rPr>
        <w:t>$58</w:t>
      </w:r>
      <w:r>
        <w:rPr>
          <w:spacing w:val="37"/>
          <w:w w:val="105"/>
        </w:rPr>
        <w:t> </w:t>
      </w:r>
      <w:r>
        <w:rPr>
          <w:w w:val="105"/>
        </w:rPr>
        <w:t>million</w:t>
      </w:r>
      <w:r>
        <w:rPr>
          <w:spacing w:val="37"/>
          <w:w w:val="105"/>
        </w:rPr>
        <w:t> </w:t>
      </w:r>
      <w:r>
        <w:rPr>
          <w:w w:val="105"/>
        </w:rPr>
        <w:t>in</w:t>
      </w:r>
      <w:r>
        <w:rPr>
          <w:spacing w:val="37"/>
          <w:w w:val="105"/>
        </w:rPr>
        <w:t> </w:t>
      </w:r>
      <w:r>
        <w:rPr>
          <w:w w:val="105"/>
        </w:rPr>
        <w:t>budget</w:t>
      </w:r>
      <w:r>
        <w:rPr>
          <w:spacing w:val="37"/>
          <w:w w:val="105"/>
        </w:rPr>
        <w:t> </w:t>
      </w:r>
      <w:r>
        <w:rPr>
          <w:w w:val="105"/>
        </w:rPr>
        <w:t>planning</w:t>
      </w:r>
      <w:r>
        <w:rPr>
          <w:spacing w:val="37"/>
          <w:w w:val="105"/>
        </w:rPr>
        <w:t> </w:t>
      </w:r>
      <w:r>
        <w:rPr>
          <w:w w:val="105"/>
        </w:rPr>
        <w:t>for</w:t>
      </w:r>
      <w:r>
        <w:rPr>
          <w:spacing w:val="37"/>
          <w:w w:val="105"/>
        </w:rPr>
        <w:t> </w:t>
      </w:r>
      <w:r>
        <w:rPr>
          <w:w w:val="105"/>
        </w:rPr>
        <w:t>IT</w:t>
      </w:r>
      <w:r>
        <w:rPr>
          <w:spacing w:val="37"/>
          <w:w w:val="105"/>
        </w:rPr>
        <w:t> </w:t>
      </w:r>
      <w:r>
        <w:rPr>
          <w:w w:val="105"/>
        </w:rPr>
        <w:t>and</w:t>
      </w:r>
      <w:r>
        <w:rPr>
          <w:spacing w:val="37"/>
          <w:w w:val="105"/>
        </w:rPr>
        <w:t> </w:t>
      </w:r>
      <w:r>
        <w:rPr>
          <w:w w:val="105"/>
        </w:rPr>
        <w:t>HR</w:t>
      </w:r>
      <w:r>
        <w:rPr>
          <w:spacing w:val="37"/>
          <w:w w:val="105"/>
        </w:rPr>
        <w:t> </w:t>
      </w:r>
      <w:r>
        <w:rPr>
          <w:w w:val="105"/>
        </w:rPr>
        <w:t>at</w:t>
      </w:r>
      <w:r>
        <w:rPr>
          <w:spacing w:val="37"/>
          <w:w w:val="105"/>
        </w:rPr>
        <w:t> </w:t>
      </w:r>
      <w:r>
        <w:rPr>
          <w:w w:val="105"/>
        </w:rPr>
        <w:t>SynTech</w:t>
      </w:r>
      <w:r>
        <w:rPr>
          <w:spacing w:val="37"/>
          <w:w w:val="105"/>
        </w:rPr>
        <w:t> </w:t>
      </w:r>
      <w:r>
        <w:rPr>
          <w:w w:val="105"/>
        </w:rPr>
        <w:t>Corporation, reduced</w:t>
      </w:r>
      <w:r>
        <w:rPr>
          <w:spacing w:val="38"/>
          <w:w w:val="105"/>
        </w:rPr>
        <w:t> </w:t>
      </w:r>
      <w:r>
        <w:rPr>
          <w:w w:val="105"/>
        </w:rPr>
        <w:t>forecast-to-actual</w:t>
      </w:r>
      <w:r>
        <w:rPr>
          <w:spacing w:val="38"/>
          <w:w w:val="105"/>
        </w:rPr>
        <w:t> </w:t>
      </w:r>
      <w:r>
        <w:rPr>
          <w:w w:val="105"/>
        </w:rPr>
        <w:t>variance</w:t>
      </w:r>
      <w:r>
        <w:rPr>
          <w:spacing w:val="38"/>
          <w:w w:val="105"/>
        </w:rPr>
        <w:t> </w:t>
      </w:r>
      <w:r>
        <w:rPr>
          <w:w w:val="105"/>
        </w:rPr>
        <w:t>by</w:t>
      </w:r>
      <w:r>
        <w:rPr>
          <w:spacing w:val="38"/>
          <w:w w:val="105"/>
        </w:rPr>
        <w:t> </w:t>
      </w:r>
      <w:r>
        <w:rPr>
          <w:w w:val="105"/>
        </w:rPr>
        <w:t>40%</w:t>
      </w:r>
      <w:r>
        <w:rPr>
          <w:spacing w:val="38"/>
          <w:w w:val="105"/>
        </w:rPr>
        <w:t> </w:t>
      </w:r>
      <w:r>
        <w:rPr>
          <w:w w:val="105"/>
        </w:rPr>
        <w:t>over</w:t>
      </w:r>
      <w:r>
        <w:rPr>
          <w:spacing w:val="38"/>
          <w:w w:val="105"/>
        </w:rPr>
        <w:t> </w:t>
      </w:r>
      <w:r>
        <w:rPr>
          <w:w w:val="105"/>
        </w:rPr>
        <w:t>2</w:t>
      </w:r>
      <w:r>
        <w:rPr>
          <w:spacing w:val="38"/>
          <w:w w:val="105"/>
        </w:rPr>
        <w:t> </w:t>
      </w:r>
      <w:r>
        <w:rPr>
          <w:w w:val="105"/>
        </w:rPr>
        <w:t>years,</w:t>
      </w:r>
      <w:r>
        <w:rPr>
          <w:spacing w:val="38"/>
          <w:w w:val="105"/>
        </w:rPr>
        <w:t> </w:t>
      </w:r>
      <w:r>
        <w:rPr>
          <w:w w:val="105"/>
        </w:rPr>
        <w:t>and</w:t>
      </w:r>
      <w:r>
        <w:rPr>
          <w:spacing w:val="38"/>
          <w:w w:val="105"/>
        </w:rPr>
        <w:t> </w:t>
      </w:r>
      <w:r>
        <w:rPr>
          <w:w w:val="105"/>
        </w:rPr>
        <w:t>introduced</w:t>
      </w:r>
      <w:r>
        <w:rPr>
          <w:spacing w:val="38"/>
          <w:w w:val="105"/>
        </w:rPr>
        <w:t> </w:t>
      </w:r>
      <w:r>
        <w:rPr>
          <w:w w:val="105"/>
        </w:rPr>
        <w:t>expense</w:t>
      </w:r>
      <w:r>
        <w:rPr>
          <w:spacing w:val="38"/>
          <w:w w:val="105"/>
        </w:rPr>
        <w:t> </w:t>
      </w:r>
      <w:r>
        <w:rPr>
          <w:w w:val="105"/>
        </w:rPr>
        <w:t>dashboards,</w:t>
      </w:r>
      <w:r>
        <w:rPr>
          <w:spacing w:val="38"/>
          <w:w w:val="105"/>
        </w:rPr>
        <w:t> </w:t>
      </w:r>
      <w:r>
        <w:rPr>
          <w:w w:val="105"/>
        </w:rPr>
        <w:t>cutting</w:t>
      </w:r>
      <w:r>
        <w:rPr>
          <w:spacing w:val="38"/>
          <w:w w:val="105"/>
        </w:rPr>
        <w:t> </w:t>
      </w:r>
      <w:r>
        <w:rPr>
          <w:w w:val="105"/>
        </w:rPr>
        <w:t>report</w:t>
      </w:r>
      <w:r>
        <w:rPr>
          <w:spacing w:val="38"/>
          <w:w w:val="105"/>
        </w:rPr>
        <w:t> </w:t>
      </w:r>
      <w:r>
        <w:rPr>
          <w:w w:val="105"/>
        </w:rPr>
        <w:t>turnaround</w:t>
      </w:r>
      <w:r>
        <w:rPr>
          <w:spacing w:val="38"/>
          <w:w w:val="105"/>
        </w:rPr>
        <w:t> </w:t>
      </w:r>
      <w:r>
        <w:rPr>
          <w:w w:val="105"/>
        </w:rPr>
        <w:t>time</w:t>
      </w:r>
      <w:r>
        <w:rPr>
          <w:spacing w:val="38"/>
          <w:w w:val="105"/>
        </w:rPr>
        <w:t> </w:t>
      </w:r>
      <w:r>
        <w:rPr>
          <w:w w:val="105"/>
        </w:rPr>
        <w:t>by 50%</w:t>
      </w:r>
      <w:r>
        <w:rPr>
          <w:spacing w:val="28"/>
          <w:w w:val="105"/>
        </w:rPr>
        <w:t> </w:t>
      </w:r>
      <w:r>
        <w:rPr>
          <w:w w:val="105"/>
        </w:rPr>
        <w:t>at</w:t>
      </w:r>
      <w:r>
        <w:rPr>
          <w:spacing w:val="28"/>
          <w:w w:val="105"/>
        </w:rPr>
        <w:t> </w:t>
      </w:r>
      <w:r>
        <w:rPr>
          <w:w w:val="105"/>
        </w:rPr>
        <w:t>Gracewell</w:t>
      </w:r>
      <w:r>
        <w:rPr>
          <w:spacing w:val="28"/>
          <w:w w:val="105"/>
        </w:rPr>
        <w:t> </w:t>
      </w:r>
      <w:r>
        <w:rPr>
          <w:w w:val="105"/>
        </w:rPr>
        <w:t>Group.</w:t>
      </w:r>
      <w:r>
        <w:rPr>
          <w:spacing w:val="28"/>
          <w:w w:val="105"/>
        </w:rPr>
        <w:t> </w:t>
      </w:r>
      <w:r>
        <w:rPr>
          <w:w w:val="105"/>
        </w:rPr>
        <w:t>Proficient</w:t>
      </w:r>
      <w:r>
        <w:rPr>
          <w:spacing w:val="28"/>
          <w:w w:val="105"/>
        </w:rPr>
        <w:t> </w:t>
      </w:r>
      <w:r>
        <w:rPr>
          <w:w w:val="105"/>
        </w:rPr>
        <w:t>in</w:t>
      </w:r>
      <w:r>
        <w:rPr>
          <w:spacing w:val="28"/>
          <w:w w:val="105"/>
        </w:rPr>
        <w:t> </w:t>
      </w:r>
      <w:r>
        <w:rPr>
          <w:w w:val="105"/>
        </w:rPr>
        <w:t>rolling</w:t>
      </w:r>
      <w:r>
        <w:rPr>
          <w:spacing w:val="28"/>
          <w:w w:val="105"/>
        </w:rPr>
        <w:t> </w:t>
      </w:r>
      <w:r>
        <w:rPr>
          <w:w w:val="105"/>
        </w:rPr>
        <w:t>forecasts,</w:t>
      </w:r>
      <w:r>
        <w:rPr>
          <w:spacing w:val="28"/>
          <w:w w:val="105"/>
        </w:rPr>
        <w:t> </w:t>
      </w:r>
      <w:r>
        <w:rPr>
          <w:w w:val="105"/>
        </w:rPr>
        <w:t>financial</w:t>
      </w:r>
      <w:r>
        <w:rPr>
          <w:spacing w:val="28"/>
          <w:w w:val="105"/>
        </w:rPr>
        <w:t> </w:t>
      </w:r>
      <w:r>
        <w:rPr>
          <w:w w:val="105"/>
        </w:rPr>
        <w:t>modeling,</w:t>
      </w:r>
      <w:r>
        <w:rPr>
          <w:spacing w:val="28"/>
          <w:w w:val="105"/>
        </w:rPr>
        <w:t> </w:t>
      </w:r>
      <w:r>
        <w:rPr>
          <w:w w:val="105"/>
        </w:rPr>
        <w:t>cost</w:t>
      </w:r>
      <w:r>
        <w:rPr>
          <w:spacing w:val="28"/>
          <w:w w:val="105"/>
        </w:rPr>
        <w:t> </w:t>
      </w:r>
      <w:r>
        <w:rPr>
          <w:w w:val="105"/>
        </w:rPr>
        <w:t>control</w:t>
      </w:r>
      <w:r>
        <w:rPr>
          <w:spacing w:val="28"/>
          <w:w w:val="105"/>
        </w:rPr>
        <w:t> </w:t>
      </w:r>
      <w:r>
        <w:rPr>
          <w:w w:val="105"/>
        </w:rPr>
        <w:t>analysis,</w:t>
      </w:r>
      <w:r>
        <w:rPr>
          <w:spacing w:val="28"/>
          <w:w w:val="105"/>
        </w:rPr>
        <w:t> </w:t>
      </w:r>
      <w:r>
        <w:rPr>
          <w:w w:val="105"/>
        </w:rPr>
        <w:t>and</w:t>
      </w:r>
      <w:r>
        <w:rPr>
          <w:spacing w:val="28"/>
          <w:w w:val="105"/>
        </w:rPr>
        <w:t> </w:t>
      </w:r>
      <w:r>
        <w:rPr>
          <w:w w:val="105"/>
        </w:rPr>
        <w:t>profitability</w:t>
      </w:r>
      <w:r>
        <w:rPr>
          <w:spacing w:val="28"/>
          <w:w w:val="105"/>
        </w:rPr>
        <w:t> </w:t>
      </w:r>
      <w:r>
        <w:rPr>
          <w:w w:val="105"/>
        </w:rPr>
        <w:t>optimization.</w:t>
      </w:r>
      <w:r>
        <w:rPr>
          <w:spacing w:val="28"/>
          <w:w w:val="105"/>
        </w:rPr>
        <w:t> </w:t>
      </w:r>
      <w:r>
        <w:rPr>
          <w:w w:val="105"/>
        </w:rPr>
        <w:t>Known for</w:t>
      </w:r>
      <w:r>
        <w:rPr>
          <w:spacing w:val="40"/>
          <w:w w:val="105"/>
        </w:rPr>
        <w:t> </w:t>
      </w:r>
      <w:r>
        <w:rPr>
          <w:w w:val="105"/>
        </w:rPr>
        <w:t>improving</w:t>
      </w:r>
      <w:r>
        <w:rPr>
          <w:spacing w:val="40"/>
          <w:w w:val="105"/>
        </w:rPr>
        <w:t> </w:t>
      </w:r>
      <w:r>
        <w:rPr>
          <w:w w:val="105"/>
        </w:rPr>
        <w:t>budget</w:t>
      </w:r>
      <w:r>
        <w:rPr>
          <w:spacing w:val="40"/>
          <w:w w:val="105"/>
        </w:rPr>
        <w:t> </w:t>
      </w:r>
      <w:r>
        <w:rPr>
          <w:w w:val="105"/>
        </w:rPr>
        <w:t>accuracy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enabling</w:t>
      </w:r>
      <w:r>
        <w:rPr>
          <w:spacing w:val="40"/>
          <w:w w:val="105"/>
        </w:rPr>
        <w:t> </w:t>
      </w:r>
      <w:r>
        <w:rPr>
          <w:w w:val="105"/>
        </w:rPr>
        <w:t>more</w:t>
      </w:r>
      <w:r>
        <w:rPr>
          <w:spacing w:val="40"/>
          <w:w w:val="105"/>
        </w:rPr>
        <w:t> </w:t>
      </w:r>
      <w:r>
        <w:rPr>
          <w:w w:val="105"/>
        </w:rPr>
        <w:t>agile</w:t>
      </w:r>
      <w:r>
        <w:rPr>
          <w:spacing w:val="40"/>
          <w:w w:val="105"/>
        </w:rPr>
        <w:t> </w:t>
      </w:r>
      <w:r>
        <w:rPr>
          <w:w w:val="105"/>
        </w:rPr>
        <w:t>financial</w:t>
      </w:r>
      <w:r>
        <w:rPr>
          <w:spacing w:val="40"/>
          <w:w w:val="105"/>
        </w:rPr>
        <w:t> </w:t>
      </w:r>
      <w:r>
        <w:rPr>
          <w:w w:val="105"/>
        </w:rPr>
        <w:t>planning.</w:t>
      </w:r>
    </w:p>
    <w:p>
      <w:pPr>
        <w:pStyle w:val="BodyText"/>
        <w:spacing w:before="131"/>
      </w:pPr>
    </w:p>
    <w:p>
      <w:pPr>
        <w:pStyle w:val="Heading1"/>
      </w:pPr>
      <w:r>
        <w:rPr>
          <w:color w:val="0C0C0C"/>
          <w:sz w:val="37"/>
        </w:rPr>
        <w:t>K</w:t>
      </w:r>
      <w:r>
        <w:rPr>
          <w:color w:val="0C0C0C"/>
        </w:rPr>
        <w:t>EY</w:t>
      </w:r>
      <w:r>
        <w:rPr>
          <w:color w:val="0C0C0C"/>
          <w:spacing w:val="-19"/>
        </w:rPr>
        <w:t> </w:t>
      </w:r>
      <w:r>
        <w:rPr>
          <w:color w:val="0C0C0C"/>
          <w:spacing w:val="-2"/>
        </w:rPr>
        <w:t>SKILLS</w:t>
      </w:r>
    </w:p>
    <w:p>
      <w:pPr>
        <w:pStyle w:val="BodyText"/>
        <w:spacing w:before="2"/>
        <w:rPr>
          <w:rFonts w:ascii="Arial"/>
          <w:b/>
          <w:sz w:val="9"/>
        </w:rPr>
      </w:pPr>
    </w:p>
    <w:p>
      <w:pPr>
        <w:pStyle w:val="BodyText"/>
        <w:spacing w:after="0"/>
        <w:rPr>
          <w:rFonts w:ascii="Arial"/>
          <w:b/>
          <w:sz w:val="9"/>
        </w:rPr>
        <w:sectPr>
          <w:type w:val="continuous"/>
          <w:pgSz w:w="11920" w:h="16860"/>
          <w:pgMar w:top="0" w:bottom="280" w:left="708" w:right="283"/>
        </w:sectPr>
      </w:pPr>
    </w:p>
    <w:p>
      <w:pPr>
        <w:pStyle w:val="ListParagraph"/>
        <w:numPr>
          <w:ilvl w:val="0"/>
          <w:numId w:val="1"/>
        </w:numPr>
        <w:tabs>
          <w:tab w:pos="498" w:val="left" w:leader="none"/>
          <w:tab w:pos="500" w:val="left" w:leader="none"/>
        </w:tabs>
        <w:spacing w:line="189" w:lineRule="auto" w:before="144" w:after="0"/>
        <w:ind w:left="500" w:right="96" w:hanging="298"/>
        <w:jc w:val="left"/>
        <w:rPr>
          <w:sz w:val="16"/>
        </w:rPr>
      </w:pPr>
      <w:r>
        <w:rPr>
          <w:w w:val="105"/>
          <w:sz w:val="16"/>
        </w:rPr>
        <w:t>Cost control and expenditure </w:t>
      </w:r>
      <w:r>
        <w:rPr>
          <w:spacing w:val="-2"/>
          <w:w w:val="105"/>
          <w:sz w:val="16"/>
        </w:rPr>
        <w:t>optimization</w:t>
      </w:r>
    </w:p>
    <w:p>
      <w:pPr>
        <w:pStyle w:val="ListParagraph"/>
        <w:numPr>
          <w:ilvl w:val="0"/>
          <w:numId w:val="1"/>
        </w:numPr>
        <w:tabs>
          <w:tab w:pos="498" w:val="left" w:leader="none"/>
          <w:tab w:pos="500" w:val="left" w:leader="none"/>
        </w:tabs>
        <w:spacing w:line="189" w:lineRule="auto" w:before="106" w:after="0"/>
        <w:ind w:left="500" w:right="38" w:hanging="298"/>
        <w:jc w:val="left"/>
        <w:rPr>
          <w:sz w:val="16"/>
        </w:rPr>
      </w:pPr>
      <w:r>
        <w:rPr>
          <w:w w:val="105"/>
          <w:sz w:val="16"/>
        </w:rPr>
        <w:t>Forecast modeling and rolling forecast management</w:t>
      </w:r>
    </w:p>
    <w:p>
      <w:pPr>
        <w:pStyle w:val="ListParagraph"/>
        <w:numPr>
          <w:ilvl w:val="0"/>
          <w:numId w:val="1"/>
        </w:numPr>
        <w:tabs>
          <w:tab w:pos="498" w:val="left" w:leader="none"/>
          <w:tab w:pos="500" w:val="left" w:leader="none"/>
        </w:tabs>
        <w:spacing w:line="189" w:lineRule="auto" w:before="120" w:after="0"/>
        <w:ind w:left="500" w:right="461" w:hanging="298"/>
        <w:jc w:val="left"/>
        <w:rPr>
          <w:sz w:val="16"/>
        </w:rPr>
      </w:pPr>
      <w:r>
        <w:rPr>
          <w:w w:val="105"/>
          <w:sz w:val="16"/>
        </w:rPr>
        <w:t>Strategic budgeting and long-term planning</w:t>
      </w:r>
    </w:p>
    <w:p>
      <w:pPr>
        <w:pStyle w:val="ListParagraph"/>
        <w:numPr>
          <w:ilvl w:val="0"/>
          <w:numId w:val="1"/>
        </w:numPr>
        <w:tabs>
          <w:tab w:pos="498" w:val="left" w:leader="none"/>
          <w:tab w:pos="500" w:val="left" w:leader="none"/>
        </w:tabs>
        <w:spacing w:line="189" w:lineRule="auto" w:before="106" w:after="0"/>
        <w:ind w:left="500" w:right="765" w:hanging="298"/>
        <w:jc w:val="left"/>
        <w:rPr>
          <w:sz w:val="16"/>
        </w:rPr>
      </w:pPr>
      <w:r>
        <w:rPr>
          <w:w w:val="110"/>
          <w:sz w:val="16"/>
        </w:rPr>
        <w:t>Financial </w:t>
      </w:r>
      <w:r>
        <w:rPr>
          <w:w w:val="110"/>
          <w:sz w:val="16"/>
        </w:rPr>
        <w:t>dashboard </w:t>
      </w:r>
      <w:r>
        <w:rPr>
          <w:spacing w:val="-2"/>
          <w:w w:val="110"/>
          <w:sz w:val="16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498" w:val="left" w:leader="none"/>
          <w:tab w:pos="500" w:val="left" w:leader="none"/>
        </w:tabs>
        <w:spacing w:line="189" w:lineRule="auto" w:before="121" w:after="0"/>
        <w:ind w:left="500" w:right="498" w:hanging="298"/>
        <w:jc w:val="left"/>
        <w:rPr>
          <w:sz w:val="16"/>
        </w:rPr>
      </w:pPr>
      <w:r>
        <w:rPr>
          <w:w w:val="105"/>
          <w:sz w:val="16"/>
        </w:rPr>
        <w:t>Executive reporting and senior leadership</w:t>
      </w:r>
    </w:p>
    <w:p>
      <w:pPr>
        <w:pStyle w:val="BodyText"/>
        <w:spacing w:before="38"/>
        <w:ind w:left="500"/>
      </w:pPr>
      <w:r>
        <w:rPr>
          <w:spacing w:val="-2"/>
          <w:w w:val="105"/>
        </w:rPr>
        <w:t>presentations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240" w:lineRule="auto" w:before="95" w:after="0"/>
        <w:ind w:left="499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Departmental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budgeting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6"/>
          <w:w w:val="105"/>
          <w:sz w:val="16"/>
        </w:rPr>
        <w:t> </w:t>
      </w:r>
      <w:r>
        <w:rPr>
          <w:spacing w:val="-2"/>
          <w:w w:val="105"/>
          <w:sz w:val="16"/>
        </w:rPr>
        <w:t>planning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240" w:lineRule="auto" w:before="184" w:after="0"/>
        <w:ind w:left="499" w:right="0" w:hanging="296"/>
        <w:jc w:val="left"/>
        <w:rPr>
          <w:sz w:val="16"/>
        </w:rPr>
      </w:pPr>
      <w:r>
        <w:rPr>
          <w:w w:val="105"/>
          <w:sz w:val="16"/>
        </w:rPr>
        <w:t>Profitability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analysis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margin</w:t>
      </w:r>
      <w:r>
        <w:rPr>
          <w:spacing w:val="24"/>
          <w:w w:val="105"/>
          <w:sz w:val="16"/>
        </w:rPr>
        <w:t> </w:t>
      </w:r>
      <w:r>
        <w:rPr>
          <w:spacing w:val="-2"/>
          <w:w w:val="105"/>
          <w:sz w:val="16"/>
        </w:rPr>
        <w:t>reporting</w:t>
      </w:r>
    </w:p>
    <w:p>
      <w:pPr>
        <w:pStyle w:val="BodyText"/>
        <w:spacing w:before="5"/>
      </w:pP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240" w:lineRule="auto" w:before="0" w:after="0"/>
        <w:ind w:left="499" w:right="0" w:hanging="296"/>
        <w:jc w:val="left"/>
        <w:rPr>
          <w:sz w:val="16"/>
        </w:rPr>
      </w:pPr>
      <w:r>
        <w:rPr>
          <w:w w:val="110"/>
          <w:sz w:val="16"/>
        </w:rPr>
        <w:t>Variance</w:t>
      </w:r>
      <w:r>
        <w:rPr>
          <w:spacing w:val="7"/>
          <w:w w:val="110"/>
          <w:sz w:val="16"/>
        </w:rPr>
        <w:t> </w:t>
      </w:r>
      <w:r>
        <w:rPr>
          <w:w w:val="110"/>
          <w:sz w:val="16"/>
        </w:rPr>
        <w:t>analysis</w:t>
      </w:r>
      <w:r>
        <w:rPr>
          <w:spacing w:val="7"/>
          <w:w w:val="110"/>
          <w:sz w:val="16"/>
        </w:rPr>
        <w:t> </w:t>
      </w:r>
      <w:r>
        <w:rPr>
          <w:w w:val="110"/>
          <w:sz w:val="16"/>
        </w:rPr>
        <w:t>and</w:t>
      </w:r>
      <w:r>
        <w:rPr>
          <w:spacing w:val="8"/>
          <w:w w:val="110"/>
          <w:sz w:val="16"/>
        </w:rPr>
        <w:t> </w:t>
      </w:r>
      <w:r>
        <w:rPr>
          <w:w w:val="110"/>
          <w:sz w:val="16"/>
        </w:rPr>
        <w:t>actuals</w:t>
      </w:r>
      <w:r>
        <w:rPr>
          <w:spacing w:val="7"/>
          <w:w w:val="110"/>
          <w:sz w:val="16"/>
        </w:rPr>
        <w:t> </w:t>
      </w:r>
      <w:r>
        <w:rPr>
          <w:spacing w:val="-2"/>
          <w:w w:val="110"/>
          <w:sz w:val="16"/>
        </w:rPr>
        <w:t>reconciliation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240" w:lineRule="auto" w:before="184" w:after="0"/>
        <w:ind w:left="499" w:right="0" w:hanging="296"/>
        <w:jc w:val="left"/>
        <w:rPr>
          <w:sz w:val="16"/>
        </w:rPr>
      </w:pPr>
      <w:r>
        <w:rPr>
          <w:w w:val="105"/>
          <w:sz w:val="16"/>
        </w:rPr>
        <w:t>Cross-functional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business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unit</w:t>
      </w:r>
      <w:r>
        <w:rPr>
          <w:spacing w:val="41"/>
          <w:w w:val="105"/>
          <w:sz w:val="16"/>
        </w:rPr>
        <w:t> </w:t>
      </w:r>
      <w:r>
        <w:rPr>
          <w:spacing w:val="-2"/>
          <w:w w:val="105"/>
          <w:sz w:val="16"/>
        </w:rPr>
        <w:t>support</w:t>
      </w:r>
    </w:p>
    <w:p>
      <w:pPr>
        <w:pStyle w:val="ListParagraph"/>
        <w:spacing w:after="0" w:line="240" w:lineRule="auto"/>
        <w:jc w:val="left"/>
        <w:rPr>
          <w:sz w:val="16"/>
        </w:rPr>
        <w:sectPr>
          <w:type w:val="continuous"/>
          <w:pgSz w:w="11920" w:h="16860"/>
          <w:pgMar w:top="0" w:bottom="280" w:left="708" w:right="283"/>
          <w:cols w:num="2" w:equalWidth="0">
            <w:col w:w="2861" w:space="772"/>
            <w:col w:w="7296"/>
          </w:cols>
        </w:sectPr>
      </w:pPr>
    </w:p>
    <w:p>
      <w:pPr>
        <w:pStyle w:val="BodyText"/>
        <w:spacing w:before="40" w:after="1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5772149</wp:posOffset>
                </wp:positionH>
                <wp:positionV relativeFrom="page">
                  <wp:posOffset>0</wp:posOffset>
                </wp:positionV>
                <wp:extent cx="1796414" cy="118808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1796414" cy="11880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96414" h="1188085">
                              <a:moveTo>
                                <a:pt x="1796034" y="1187853"/>
                              </a:moveTo>
                              <a:lnTo>
                                <a:pt x="0" y="0"/>
                              </a:lnTo>
                              <a:lnTo>
                                <a:pt x="1796034" y="0"/>
                              </a:lnTo>
                              <a:lnTo>
                                <a:pt x="1796034" y="118785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4.499969pt;margin-top:.000032pt;width:141.450pt;height:93.55pt;mso-position-horizontal-relative:page;mso-position-vertical-relative:page;z-index:15730176" id="docshape2" coordorigin="9090,0" coordsize="2829,1871" path="m11918,1871l9090,0,11918,0,11918,1871xe" filled="true" fillcolor="#8b0000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spacing w:line="20" w:lineRule="exact"/>
        <w:ind w:left="12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867525" cy="9525"/>
                <wp:effectExtent l="0" t="0" r="0" b="0"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6867525" cy="9525"/>
                          <a:chExt cx="6867525" cy="952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6867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7525" h="9525">
                                <a:moveTo>
                                  <a:pt x="68675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867524" y="0"/>
                                </a:lnTo>
                                <a:lnTo>
                                  <a:pt x="68675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40.75pt;height:.75pt;mso-position-horizontal-relative:char;mso-position-vertical-relative:line" id="docshapegroup3" coordorigin="0,0" coordsize="10815,15">
                <v:rect style="position:absolute;left:0;top:0;width:10815;height:15" id="docshape4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13"/>
      </w:pPr>
      <w:r>
        <w:rPr>
          <w:color w:val="0C0C0C"/>
          <w:spacing w:val="-2"/>
          <w:sz w:val="37"/>
        </w:rPr>
        <w:t>P</w:t>
      </w:r>
      <w:r>
        <w:rPr>
          <w:color w:val="0C0C0C"/>
          <w:spacing w:val="-2"/>
        </w:rPr>
        <w:t>ROFESSIONAL</w:t>
      </w:r>
      <w:r>
        <w:rPr>
          <w:color w:val="0C0C0C"/>
        </w:rPr>
        <w:t> </w:t>
      </w:r>
      <w:r>
        <w:rPr>
          <w:color w:val="0C0C0C"/>
          <w:spacing w:val="-2"/>
        </w:rPr>
        <w:t>EXPERIENCE</w:t>
      </w:r>
    </w:p>
    <w:p>
      <w:pPr>
        <w:pStyle w:val="BodyText"/>
        <w:tabs>
          <w:tab w:pos="8895" w:val="left" w:leader="none"/>
        </w:tabs>
        <w:spacing w:before="281"/>
        <w:ind w:left="203"/>
        <w:rPr>
          <w:rFonts w:ascii="Arial" w:hAnsi="Arial"/>
        </w:rPr>
      </w:pPr>
      <w:r>
        <w:rPr>
          <w:rFonts w:ascii="Arial" w:hAnsi="Arial"/>
          <w:w w:val="105"/>
        </w:rPr>
        <w:t>Budget</w:t>
      </w:r>
      <w:r>
        <w:rPr>
          <w:rFonts w:ascii="Arial" w:hAnsi="Arial"/>
          <w:spacing w:val="7"/>
          <w:w w:val="105"/>
        </w:rPr>
        <w:t> </w:t>
      </w:r>
      <w:r>
        <w:rPr>
          <w:rFonts w:ascii="Arial" w:hAnsi="Arial"/>
          <w:w w:val="105"/>
        </w:rPr>
        <w:t>Analyst,</w:t>
      </w:r>
      <w:r>
        <w:rPr>
          <w:rFonts w:ascii="Arial" w:hAnsi="Arial"/>
          <w:spacing w:val="19"/>
          <w:w w:val="105"/>
        </w:rPr>
        <w:t> </w:t>
      </w:r>
      <w:r>
        <w:rPr>
          <w:rFonts w:ascii="Arial" w:hAnsi="Arial"/>
          <w:w w:val="105"/>
        </w:rPr>
        <w:t>SynTech</w:t>
      </w:r>
      <w:r>
        <w:rPr>
          <w:rFonts w:ascii="Arial" w:hAnsi="Arial"/>
          <w:spacing w:val="18"/>
          <w:w w:val="105"/>
        </w:rPr>
        <w:t> </w:t>
      </w:r>
      <w:r>
        <w:rPr>
          <w:rFonts w:ascii="Arial" w:hAnsi="Arial"/>
          <w:w w:val="105"/>
        </w:rPr>
        <w:t>Corporation,</w:t>
      </w:r>
      <w:r>
        <w:rPr>
          <w:rFonts w:ascii="Arial" w:hAnsi="Arial"/>
          <w:spacing w:val="19"/>
          <w:w w:val="105"/>
        </w:rPr>
        <w:t> </w:t>
      </w:r>
      <w:r>
        <w:rPr>
          <w:rFonts w:ascii="Arial" w:hAnsi="Arial"/>
          <w:w w:val="105"/>
        </w:rPr>
        <w:t>Charlotte,</w:t>
      </w:r>
      <w:r>
        <w:rPr>
          <w:rFonts w:ascii="Arial" w:hAnsi="Arial"/>
          <w:spacing w:val="19"/>
          <w:w w:val="105"/>
        </w:rPr>
        <w:t> </w:t>
      </w:r>
      <w:r>
        <w:rPr>
          <w:rFonts w:ascii="Arial" w:hAnsi="Arial"/>
          <w:spacing w:val="-5"/>
          <w:w w:val="105"/>
        </w:rPr>
        <w:t>NC</w:t>
      </w:r>
      <w:r>
        <w:rPr>
          <w:rFonts w:ascii="Arial" w:hAnsi="Arial"/>
        </w:rPr>
        <w:tab/>
      </w:r>
      <w:r>
        <w:rPr>
          <w:rFonts w:ascii="Arial" w:hAnsi="Arial"/>
          <w:w w:val="105"/>
        </w:rPr>
        <w:t>February</w:t>
      </w:r>
      <w:r>
        <w:rPr>
          <w:rFonts w:ascii="Arial" w:hAnsi="Arial"/>
          <w:spacing w:val="12"/>
          <w:w w:val="105"/>
        </w:rPr>
        <w:t> </w:t>
      </w:r>
      <w:r>
        <w:rPr>
          <w:rFonts w:ascii="Arial" w:hAnsi="Arial"/>
          <w:w w:val="105"/>
        </w:rPr>
        <w:t>2019</w:t>
      </w:r>
      <w:r>
        <w:rPr>
          <w:rFonts w:ascii="Arial" w:hAnsi="Arial"/>
          <w:spacing w:val="12"/>
          <w:w w:val="105"/>
        </w:rPr>
        <w:t> </w:t>
      </w:r>
      <w:r>
        <w:rPr>
          <w:rFonts w:ascii="Arial" w:hAnsi="Arial"/>
          <w:w w:val="105"/>
        </w:rPr>
        <w:t>–</w:t>
      </w:r>
      <w:r>
        <w:rPr>
          <w:rFonts w:ascii="Arial" w:hAnsi="Arial"/>
          <w:spacing w:val="12"/>
          <w:w w:val="105"/>
        </w:rPr>
        <w:t> </w:t>
      </w:r>
      <w:r>
        <w:rPr>
          <w:rFonts w:ascii="Arial" w:hAnsi="Arial"/>
          <w:spacing w:val="-2"/>
          <w:w w:val="105"/>
        </w:rPr>
        <w:t>Present</w:t>
      </w:r>
    </w:p>
    <w:p>
      <w:pPr>
        <w:pStyle w:val="BodyText"/>
        <w:spacing w:before="65"/>
        <w:rPr>
          <w:rFonts w:ascii="Arial"/>
        </w:rPr>
      </w:pPr>
    </w:p>
    <w:p>
      <w:pPr>
        <w:pStyle w:val="ListParagraph"/>
        <w:numPr>
          <w:ilvl w:val="1"/>
          <w:numId w:val="1"/>
        </w:numPr>
        <w:tabs>
          <w:tab w:pos="647" w:val="left" w:leader="none"/>
          <w:tab w:pos="649" w:val="left" w:leader="none"/>
        </w:tabs>
        <w:spacing w:line="189" w:lineRule="auto" w:before="0" w:after="0"/>
        <w:ind w:left="649" w:right="425" w:hanging="298"/>
        <w:jc w:val="left"/>
        <w:rPr>
          <w:rFonts w:ascii="Arial" w:hAnsi="Arial"/>
          <w:position w:val="-5"/>
          <w:sz w:val="31"/>
        </w:rPr>
      </w:pPr>
      <w:r>
        <w:rPr>
          <w:w w:val="105"/>
          <w:sz w:val="16"/>
        </w:rPr>
        <w:t>Lead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annual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budget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planning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process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IT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HR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departments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totaling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$58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million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combined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spending,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coordinating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with department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heads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develop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defensible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forecasts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allocation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plans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  <w:tab w:pos="649" w:val="left" w:leader="none"/>
        </w:tabs>
        <w:spacing w:line="189" w:lineRule="auto" w:before="106" w:after="0"/>
        <w:ind w:left="649" w:right="266" w:hanging="298"/>
        <w:jc w:val="left"/>
        <w:rPr>
          <w:rFonts w:ascii="Arial" w:hAnsi="Arial"/>
          <w:position w:val="-5"/>
          <w:sz w:val="31"/>
        </w:rPr>
      </w:pPr>
      <w:r>
        <w:rPr>
          <w:w w:val="105"/>
          <w:sz w:val="16"/>
        </w:rPr>
        <w:t>Reduced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variance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between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forecasted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actual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expenditures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40%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over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2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through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more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granular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cost-center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tracking and monthly reforecast checkpoints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  <w:tab w:pos="649" w:val="left" w:leader="none"/>
        </w:tabs>
        <w:spacing w:line="189" w:lineRule="auto" w:before="121" w:after="0"/>
        <w:ind w:left="649" w:right="740" w:hanging="298"/>
        <w:jc w:val="left"/>
        <w:rPr>
          <w:rFonts w:ascii="Arial" w:hAnsi="Arial"/>
          <w:position w:val="-5"/>
          <w:sz w:val="31"/>
        </w:rPr>
      </w:pPr>
      <w:r>
        <w:rPr>
          <w:w w:val="105"/>
          <w:sz w:val="16"/>
        </w:rPr>
        <w:t>Supported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transition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from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annual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quarterly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rolling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forecasts,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enabling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more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agile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financial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planning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lag between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business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changes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budget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adjustments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  <w:tab w:pos="649" w:val="left" w:leader="none"/>
        </w:tabs>
        <w:spacing w:line="189" w:lineRule="auto" w:before="105" w:after="0"/>
        <w:ind w:left="649" w:right="435" w:hanging="298"/>
        <w:jc w:val="left"/>
        <w:rPr>
          <w:rFonts w:ascii="Arial" w:hAnsi="Arial"/>
          <w:position w:val="-5"/>
          <w:sz w:val="31"/>
        </w:rPr>
      </w:pPr>
      <w:r>
        <w:rPr>
          <w:w w:val="105"/>
          <w:sz w:val="16"/>
        </w:rPr>
        <w:t>Prepare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monthly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executive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budget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reports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CFO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department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vice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presidents,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summarizing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YTD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performance,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projected year-end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totals,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recommended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budget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actions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  <w:tab w:pos="649" w:val="left" w:leader="none"/>
        </w:tabs>
        <w:spacing w:line="196" w:lineRule="auto" w:before="106" w:after="0"/>
        <w:ind w:left="649" w:right="647" w:hanging="298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6"/>
        </w:rPr>
        <w:t>Partner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IT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HR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business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partners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review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new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project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funding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requests,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applying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cost-benefit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analysis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prioritize initiatives within available budget capacity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  <w:tab w:pos="649" w:val="left" w:leader="none"/>
        </w:tabs>
        <w:spacing w:line="189" w:lineRule="auto" w:before="105" w:after="0"/>
        <w:ind w:left="649" w:right="822" w:hanging="298"/>
        <w:jc w:val="left"/>
        <w:rPr>
          <w:rFonts w:ascii="Arial" w:hAnsi="Arial"/>
          <w:position w:val="-5"/>
          <w:sz w:val="31"/>
        </w:rPr>
      </w:pPr>
      <w:r>
        <w:rPr>
          <w:w w:val="105"/>
          <w:sz w:val="16"/>
        </w:rPr>
        <w:t>Developed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automated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variance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reporting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templates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reduced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analyst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preparation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time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3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hours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per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reporting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cycle, enabling faster delivery to senior leadership</w:t>
      </w:r>
    </w:p>
    <w:p>
      <w:pPr>
        <w:pStyle w:val="BodyText"/>
        <w:spacing w:before="154"/>
      </w:pPr>
    </w:p>
    <w:p>
      <w:pPr>
        <w:pStyle w:val="BodyText"/>
        <w:tabs>
          <w:tab w:pos="8761" w:val="left" w:leader="none"/>
        </w:tabs>
        <w:ind w:left="203"/>
        <w:rPr>
          <w:rFonts w:ascii="Arial" w:hAnsi="Arial"/>
        </w:rPr>
      </w:pPr>
      <w:r>
        <w:rPr>
          <w:rFonts w:ascii="Arial" w:hAnsi="Arial"/>
          <w:w w:val="105"/>
        </w:rPr>
        <w:t>Financial</w:t>
      </w:r>
      <w:r>
        <w:rPr>
          <w:rFonts w:ascii="Arial" w:hAnsi="Arial"/>
          <w:spacing w:val="10"/>
          <w:w w:val="105"/>
        </w:rPr>
        <w:t> </w:t>
      </w:r>
      <w:r>
        <w:rPr>
          <w:rFonts w:ascii="Arial" w:hAnsi="Arial"/>
          <w:w w:val="105"/>
        </w:rPr>
        <w:t>Analyst,</w:t>
      </w:r>
      <w:r>
        <w:rPr>
          <w:rFonts w:ascii="Arial" w:hAnsi="Arial"/>
          <w:spacing w:val="22"/>
          <w:w w:val="105"/>
        </w:rPr>
        <w:t> </w:t>
      </w:r>
      <w:r>
        <w:rPr>
          <w:rFonts w:ascii="Arial" w:hAnsi="Arial"/>
          <w:w w:val="105"/>
        </w:rPr>
        <w:t>Gracewell</w:t>
      </w:r>
      <w:r>
        <w:rPr>
          <w:rFonts w:ascii="Arial" w:hAnsi="Arial"/>
          <w:spacing w:val="23"/>
          <w:w w:val="105"/>
        </w:rPr>
        <w:t> </w:t>
      </w:r>
      <w:r>
        <w:rPr>
          <w:rFonts w:ascii="Arial" w:hAnsi="Arial"/>
          <w:w w:val="105"/>
        </w:rPr>
        <w:t>Group,</w:t>
      </w:r>
      <w:r>
        <w:rPr>
          <w:rFonts w:ascii="Arial" w:hAnsi="Arial"/>
          <w:spacing w:val="22"/>
          <w:w w:val="105"/>
        </w:rPr>
        <w:t> </w:t>
      </w:r>
      <w:r>
        <w:rPr>
          <w:rFonts w:ascii="Arial" w:hAnsi="Arial"/>
          <w:w w:val="105"/>
        </w:rPr>
        <w:t>Charlotte,</w:t>
      </w:r>
      <w:r>
        <w:rPr>
          <w:rFonts w:ascii="Arial" w:hAnsi="Arial"/>
          <w:spacing w:val="22"/>
          <w:w w:val="105"/>
        </w:rPr>
        <w:t> </w:t>
      </w:r>
      <w:r>
        <w:rPr>
          <w:rFonts w:ascii="Arial" w:hAnsi="Arial"/>
          <w:spacing w:val="-5"/>
          <w:w w:val="105"/>
        </w:rPr>
        <w:t>NC</w:t>
      </w:r>
      <w:r>
        <w:rPr>
          <w:rFonts w:ascii="Arial" w:hAnsi="Arial"/>
        </w:rPr>
        <w:tab/>
      </w:r>
      <w:r>
        <w:rPr>
          <w:rFonts w:ascii="Arial" w:hAnsi="Arial"/>
          <w:w w:val="105"/>
        </w:rPr>
        <w:t>June</w:t>
      </w:r>
      <w:r>
        <w:rPr>
          <w:rFonts w:ascii="Arial" w:hAnsi="Arial"/>
          <w:spacing w:val="11"/>
          <w:w w:val="105"/>
        </w:rPr>
        <w:t> </w:t>
      </w:r>
      <w:r>
        <w:rPr>
          <w:rFonts w:ascii="Arial" w:hAnsi="Arial"/>
          <w:w w:val="105"/>
        </w:rPr>
        <w:t>2015</w:t>
      </w:r>
      <w:r>
        <w:rPr>
          <w:rFonts w:ascii="Arial" w:hAnsi="Arial"/>
          <w:spacing w:val="11"/>
          <w:w w:val="105"/>
        </w:rPr>
        <w:t> </w:t>
      </w:r>
      <w:r>
        <w:rPr>
          <w:rFonts w:ascii="Arial" w:hAnsi="Arial"/>
          <w:w w:val="105"/>
        </w:rPr>
        <w:t>–</w:t>
      </w:r>
      <w:r>
        <w:rPr>
          <w:rFonts w:ascii="Arial" w:hAnsi="Arial"/>
          <w:spacing w:val="12"/>
          <w:w w:val="105"/>
        </w:rPr>
        <w:t> </w:t>
      </w:r>
      <w:r>
        <w:rPr>
          <w:rFonts w:ascii="Arial" w:hAnsi="Arial"/>
          <w:w w:val="105"/>
        </w:rPr>
        <w:t>January</w:t>
      </w:r>
      <w:r>
        <w:rPr>
          <w:rFonts w:ascii="Arial" w:hAnsi="Arial"/>
          <w:spacing w:val="11"/>
          <w:w w:val="105"/>
        </w:rPr>
        <w:t> </w:t>
      </w:r>
      <w:r>
        <w:rPr>
          <w:rFonts w:ascii="Arial" w:hAnsi="Arial"/>
          <w:spacing w:val="-4"/>
          <w:w w:val="105"/>
        </w:rPr>
        <w:t>2019</w:t>
      </w:r>
    </w:p>
    <w:p>
      <w:pPr>
        <w:pStyle w:val="BodyText"/>
        <w:spacing w:before="65"/>
        <w:rPr>
          <w:rFonts w:ascii="Arial"/>
        </w:rPr>
      </w:pPr>
    </w:p>
    <w:p>
      <w:pPr>
        <w:pStyle w:val="ListParagraph"/>
        <w:numPr>
          <w:ilvl w:val="1"/>
          <w:numId w:val="1"/>
        </w:numPr>
        <w:tabs>
          <w:tab w:pos="647" w:val="left" w:leader="none"/>
          <w:tab w:pos="649" w:val="left" w:leader="none"/>
        </w:tabs>
        <w:spacing w:line="189" w:lineRule="auto" w:before="0" w:after="0"/>
        <w:ind w:left="649" w:right="713" w:hanging="298"/>
        <w:jc w:val="left"/>
        <w:rPr>
          <w:rFonts w:ascii="Arial" w:hAnsi="Arial"/>
          <w:position w:val="-5"/>
          <w:sz w:val="31"/>
        </w:rPr>
      </w:pPr>
      <w:r>
        <w:rPr>
          <w:w w:val="105"/>
          <w:sz w:val="16"/>
        </w:rPr>
        <w:t>Created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financial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models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project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costs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revenue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across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3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business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units,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supporting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annual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budgeting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quarterly forecast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updates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presented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senior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leadership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  <w:tab w:pos="649" w:val="left" w:leader="none"/>
        </w:tabs>
        <w:spacing w:line="189" w:lineRule="auto" w:before="121" w:after="0"/>
        <w:ind w:left="649" w:right="157" w:hanging="298"/>
        <w:jc w:val="left"/>
        <w:rPr>
          <w:rFonts w:ascii="Arial" w:hAnsi="Arial"/>
          <w:position w:val="-5"/>
          <w:sz w:val="31"/>
        </w:rPr>
      </w:pPr>
      <w:r>
        <w:rPr>
          <w:w w:val="105"/>
          <w:sz w:val="16"/>
        </w:rPr>
        <w:t>Introduced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expense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tracking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dashboards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3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business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units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reduced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report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turnaround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time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50%,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enabling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leadership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to access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financial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data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24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hours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period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close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  <w:tab w:pos="649" w:val="left" w:leader="none"/>
        </w:tabs>
        <w:spacing w:line="189" w:lineRule="auto" w:before="106" w:after="0"/>
        <w:ind w:left="649" w:right="819" w:hanging="298"/>
        <w:jc w:val="left"/>
        <w:rPr>
          <w:rFonts w:ascii="Arial" w:hAnsi="Arial"/>
          <w:position w:val="-5"/>
          <w:sz w:val="31"/>
        </w:rPr>
      </w:pPr>
      <w:r>
        <w:rPr>
          <w:w w:val="105"/>
          <w:sz w:val="16"/>
        </w:rPr>
        <w:t>Conducted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monthly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variance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analysis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presented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findings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senior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leadership,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identifying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recurring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causes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budget deviation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recommending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corrective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actions</w:t>
      </w:r>
    </w:p>
    <w:p>
      <w:pPr>
        <w:pStyle w:val="BodyText"/>
        <w:spacing w:before="2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457199</wp:posOffset>
                </wp:positionH>
                <wp:positionV relativeFrom="paragraph">
                  <wp:posOffset>182502</wp:posOffset>
                </wp:positionV>
                <wp:extent cx="6867525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14.370313pt;width:540.749957pt;height:.75pt;mso-position-horizontal-relative:page;mso-position-vertical-relative:paragraph;z-index:-15727616;mso-wrap-distance-left:0;mso-wrap-distance-right:0" id="docshape5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280" w:left="708" w:right="283"/>
        </w:sectPr>
      </w:pPr>
    </w:p>
    <w:p>
      <w:pPr>
        <w:pStyle w:val="Heading1"/>
        <w:spacing w:before="80"/>
      </w:pPr>
      <w:r>
        <w:rPr>
          <w:color w:val="0C0C0C"/>
          <w:spacing w:val="-2"/>
          <w:sz w:val="37"/>
        </w:rPr>
        <w:t>E</w:t>
      </w:r>
      <w:r>
        <w:rPr>
          <w:color w:val="0C0C0C"/>
          <w:spacing w:val="-2"/>
        </w:rPr>
        <w:t>DUCATION</w:t>
      </w:r>
    </w:p>
    <w:p>
      <w:pPr>
        <w:pStyle w:val="Heading1"/>
        <w:spacing w:after="0"/>
        <w:sectPr>
          <w:pgSz w:w="11920" w:h="16860"/>
          <w:pgMar w:top="440" w:bottom="280" w:left="708" w:right="283"/>
        </w:sectPr>
      </w:pPr>
    </w:p>
    <w:p>
      <w:pPr>
        <w:pStyle w:val="BodyText"/>
        <w:spacing w:before="2"/>
        <w:rPr>
          <w:rFonts w:ascii="Arial"/>
          <w:b/>
        </w:rPr>
      </w:pP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240" w:lineRule="auto" w:before="0" w:after="0"/>
        <w:ind w:left="499" w:right="0" w:hanging="296"/>
        <w:jc w:val="left"/>
        <w:rPr>
          <w:sz w:val="16"/>
        </w:rPr>
      </w:pPr>
      <w:r>
        <w:rPr>
          <w:w w:val="105"/>
          <w:sz w:val="16"/>
        </w:rPr>
        <w:t>Bachelor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Science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(B.S.)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Finance,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University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North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Carolina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at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Charlotte,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Charlotte,</w:t>
      </w:r>
      <w:r>
        <w:rPr>
          <w:spacing w:val="23"/>
          <w:w w:val="105"/>
          <w:sz w:val="16"/>
        </w:rPr>
        <w:t> </w:t>
      </w:r>
      <w:r>
        <w:rPr>
          <w:spacing w:val="-5"/>
          <w:w w:val="105"/>
          <w:sz w:val="16"/>
        </w:rPr>
        <w:t>NC</w:t>
      </w:r>
    </w:p>
    <w:p>
      <w:pPr>
        <w:pStyle w:val="BodyText"/>
        <w:spacing w:before="63"/>
      </w:pPr>
      <w:r>
        <w:rPr/>
        <w:br w:type="column"/>
      </w:r>
      <w:r>
        <w:rPr/>
      </w:r>
    </w:p>
    <w:p>
      <w:pPr>
        <w:pStyle w:val="BodyText"/>
        <w:ind w:left="203"/>
      </w:pPr>
      <w:r>
        <w:rPr>
          <w:w w:val="110"/>
        </w:rPr>
        <w:t>May</w:t>
      </w:r>
      <w:r>
        <w:rPr>
          <w:spacing w:val="3"/>
          <w:w w:val="110"/>
        </w:rPr>
        <w:t> </w:t>
      </w:r>
      <w:r>
        <w:rPr>
          <w:spacing w:val="-4"/>
          <w:w w:val="110"/>
        </w:rPr>
        <w:t>2015</w:t>
      </w:r>
    </w:p>
    <w:sectPr>
      <w:type w:val="continuous"/>
      <w:pgSz w:w="11920" w:h="16860"/>
      <w:pgMar w:top="0" w:bottom="280" w:left="708" w:right="283"/>
      <w:cols w:num="2" w:equalWidth="0">
        <w:col w:w="7803" w:space="2056"/>
        <w:col w:w="107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ahoma">
    <w:altName w:val="Tahoma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8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3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8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2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7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2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6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5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06"/>
      <w:ind w:left="649" w:hanging="298"/>
    </w:pPr>
    <w:rPr>
      <w:rFonts w:ascii="Tahoma" w:hAnsi="Tahoma" w:eastAsia="Tahoma" w:cs="Tahom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2026-03-12T15:06:02Z</dcterms:created>
  <dcterms:modified xsi:type="dcterms:W3CDTF">2026-03-12T15:06:02Z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2026-03-12T00:00:00Z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2026-03-12T00:00:00Z</vt:filetime>
  </property>
  <property fmtid="{D5CDD505-2E9C-101B-9397-08002B2CF9AE}" pid="5" name="Producer">
    <vt:lpwstr>pdf-merger-js</vt:lpwstr>
  </property>
</Properties>
</file>