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5"/>
        <w:rPr>
          <w:rFonts w:ascii="Times New Roman"/>
          <w:sz w:val="82"/>
        </w:rPr>
      </w:pPr>
    </w:p>
    <w:p>
      <w:pPr>
        <w:spacing w:before="0"/>
        <w:ind w:left="4132" w:right="11" w:firstLine="0"/>
        <w:jc w:val="center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-702005</wp:posOffset>
                </wp:positionV>
                <wp:extent cx="2447925" cy="2409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47925" cy="2409825"/>
                          <a:chExt cx="2447925" cy="2409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B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447925" cy="2409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1"/>
                                <w:rPr>
                                  <w:sz w:val="8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31" w:right="0" w:firstLine="0"/>
                                <w:jc w:val="left"/>
                                <w:rPr>
                                  <w:b/>
                                  <w:sz w:val="8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89"/>
                                </w:rPr>
                                <w:t>CM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-55.276016pt;width:192.75pt;height:189.75pt;mso-position-horizontal-relative:page;mso-position-vertical-relative:paragraph;z-index:15729664" id="docshapegroup1" coordorigin="0,-1106" coordsize="3855,3795">
                <v:shape style="position:absolute;left:0;top:-1106;width:3855;height:3795" id="docshape2" coordorigin="0,-1106" coordsize="3855,3795" path="m1890,2689l0,1651,0,-1106,3855,-1106,3855,1648,1890,2689xe" filled="true" fillcolor="#258ba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106;width:3855;height:379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51"/>
                          <w:rPr>
                            <w:sz w:val="89"/>
                          </w:rPr>
                        </w:pPr>
                      </w:p>
                      <w:p>
                        <w:pPr>
                          <w:spacing w:before="0"/>
                          <w:ind w:left="1231" w:right="0" w:firstLine="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89"/>
                          </w:rPr>
                          <w:t>CM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0C0C0C"/>
          <w:sz w:val="82"/>
        </w:rPr>
        <w:t>Cameron</w:t>
      </w:r>
      <w:r>
        <w:rPr>
          <w:b/>
          <w:color w:val="0C0C0C"/>
          <w:spacing w:val="11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Moore</w:t>
      </w:r>
    </w:p>
    <w:p>
      <w:pPr>
        <w:spacing w:before="227"/>
        <w:ind w:left="4132" w:right="0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Telecom</w:t>
      </w:r>
      <w:r>
        <w:rPr>
          <w:b/>
          <w:color w:val="0C0C0C"/>
          <w:spacing w:val="6"/>
          <w:sz w:val="26"/>
        </w:rPr>
        <w:t> </w:t>
      </w:r>
      <w:r>
        <w:rPr>
          <w:b/>
          <w:color w:val="0C0C0C"/>
          <w:sz w:val="26"/>
        </w:rPr>
        <w:t>Budget</w:t>
      </w:r>
      <w:r>
        <w:rPr>
          <w:b/>
          <w:color w:val="0C0C0C"/>
          <w:spacing w:val="6"/>
          <w:sz w:val="26"/>
        </w:rPr>
        <w:t> </w:t>
      </w:r>
      <w:r>
        <w:rPr>
          <w:b/>
          <w:color w:val="0C0C0C"/>
          <w:spacing w:val="-2"/>
          <w:sz w:val="26"/>
        </w:rPr>
        <w:t>Analyst</w:t>
      </w:r>
    </w:p>
    <w:p>
      <w:pPr>
        <w:pStyle w:val="BodyText"/>
        <w:spacing w:before="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0" w:right="283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17"/>
        <w:rPr>
          <w:b/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53"/>
        <w:rPr>
          <w:b/>
          <w:sz w:val="29"/>
        </w:rPr>
      </w:pPr>
    </w:p>
    <w:p>
      <w:pPr>
        <w:pStyle w:val="BodyText"/>
        <w:ind w:left="479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FFFFFF"/>
          <w:w w:val="105"/>
        </w:rPr>
        <w:t>(555) 000-0000</w:t>
      </w:r>
    </w:p>
    <w:p>
      <w:pPr>
        <w:pStyle w:val="BodyText"/>
        <w:spacing w:line="376" w:lineRule="auto" w:before="135"/>
        <w:ind w:left="1041" w:hanging="5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304799</wp:posOffset>
                </wp:positionH>
                <wp:positionV relativeFrom="paragraph">
                  <wp:posOffset>400545</wp:posOffset>
                </wp:positionV>
                <wp:extent cx="247650" cy="2381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B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7629" y="4787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31.539021pt;width:19.5pt;height:18.75pt;mso-position-horizontal-relative:page;mso-position-vertical-relative:paragraph;z-index:-15799808" id="docshapegroup4" coordorigin="480,631" coordsize="390,375">
                <v:rect style="position:absolute;left:480;top:630;width:390;height:375" id="docshape5" filled="true" fillcolor="#258ba5" stroked="false">
                  <v:fill type="solid"/>
                </v:rect>
                <v:shape style="position:absolute;left:555;top:706;width:256;height:226" id="docshape6" coordorigin="555,706" coordsize="256,226" path="m747,816l666,816,670,809,677,803,677,803,685,802,685,765,672,762,662,752,662,736,664,725,664,724,670,715,680,708,691,706,703,709,712,716,718,725,721,736,721,750,711,762,697,765,697,765,697,802,705,803,712,808,716,815,750,815,747,816xm601,825l584,825,573,822,564,816,557,807,555,795,557,784,564,774,573,768,585,765,596,768,606,774,612,784,614,795,614,798,614,799,648,810,610,810,605,819,601,825xm750,815l716,815,757,800,756,799,756,795,758,784,765,774,774,768,786,765,786,765,797,768,807,774,810,779,810,800,756,800,756,811,759,811,750,815xm759,811l756,811,756,800,810,800,810,811,761,811,759,811xm653,877l636,877,666,847,663,842,661,837,662,828,662,827,610,810,648,810,666,816,747,816,724,825,721,825,721,837,719,842,716,847,724,855,675,855,653,877xm786,825l775,825,766,819,761,811,810,811,807,816,807,816,797,822,786,825xm721,826l721,825,724,825,721,826xm697,860l685,860,679,859,675,855,707,855,703,859,697,860xm762,932l751,929,741,923,735,913,733,902,733,896,734,890,737,886,707,855,724,855,746,877,777,877,783,881,789,890,790,896,792,902,789,913,783,923,774,929,762,932xm620,932l609,929,599,923,593,913,590,902,592,896,593,890,599,881,609,875,620,872,626,872,632,874,636,877,653,877,645,886,648,890,650,890,650,902,647,913,641,923,632,929,620,932xm777,877l746,877,750,875,750,874,746,872,762,872,774,875,777,877xm650,890l648,890,650,886,650,8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2"/>
        </w:rPr>
        <w:drawing>
          <wp:inline distT="0" distB="0" distL="0" distR="0">
            <wp:extent cx="247649" cy="2285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2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71"/>
        <w:ind w:left="10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304799</wp:posOffset>
                </wp:positionH>
                <wp:positionV relativeFrom="paragraph">
                  <wp:posOffset>73417</wp:posOffset>
                </wp:positionV>
                <wp:extent cx="247650" cy="2286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8BA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8155" y="28574"/>
                            <a:ext cx="16192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5735">
                                <a:moveTo>
                                  <a:pt x="18254" y="165348"/>
                                </a:moveTo>
                                <a:lnTo>
                                  <a:pt x="0" y="165348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65348"/>
                                </a:moveTo>
                                <a:lnTo>
                                  <a:pt x="27381" y="165348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65910" y="93303"/>
                                </a:lnTo>
                                <a:lnTo>
                                  <a:pt x="60108" y="97240"/>
                                </a:lnTo>
                                <a:lnTo>
                                  <a:pt x="56196" y="103080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5.780901pt;width:19.5pt;height:18pt;mso-position-horizontal-relative:page;mso-position-vertical-relative:paragraph;z-index:15730688" id="docshapegroup7" coordorigin="480,116" coordsize="390,360">
                <v:rect style="position:absolute;left:480;top:115;width:390;height:360" id="docshape8" filled="true" fillcolor="#258ba5" stroked="false">
                  <v:fill type="solid"/>
                </v:rect>
                <v:shape style="position:absolute;left:555;top:160;width:255;height:261" id="docshape9" coordorigin="556,161" coordsize="255,261" path="m585,421l556,421,556,161,585,161,585,421xm810,421l599,421,599,161,810,161,810,218,703,218,691,221,680,228,673,238,671,251,673,264,680,274,691,281,703,284,810,284,810,305,671,305,660,308,650,314,644,323,642,334,642,363,810,363,810,421xm810,284l703,284,716,281,726,274,733,264,736,251,733,238,726,228,716,221,703,218,810,218,810,284xm810,363l771,363,771,334,769,323,763,314,754,308,743,305,810,305,810,36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Dallas,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TX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4"/>
          <w:w w:val="105"/>
        </w:rPr>
        <w:t>75201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tabs>
          <w:tab w:pos="780" w:val="left" w:leader="none"/>
        </w:tabs>
        <w:spacing w:line="278" w:lineRule="auto" w:before="1"/>
        <w:ind w:left="780" w:right="141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Capital expenditure planning and CAPEX tracking</w:t>
      </w:r>
    </w:p>
    <w:p>
      <w:pPr>
        <w:pStyle w:val="BodyText"/>
        <w:tabs>
          <w:tab w:pos="780" w:val="left" w:leader="none"/>
        </w:tabs>
        <w:spacing w:line="278" w:lineRule="auto" w:before="119"/>
        <w:ind w:left="780" w:right="608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Financial modeling and forecast development</w:t>
      </w:r>
    </w:p>
    <w:p>
      <w:pPr>
        <w:pStyle w:val="BodyText"/>
        <w:tabs>
          <w:tab w:pos="780" w:val="left" w:leader="none"/>
        </w:tabs>
        <w:spacing w:line="278" w:lineRule="auto" w:before="120"/>
        <w:ind w:left="780" w:right="317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Operational budgeting and OPEX management</w:t>
      </w:r>
    </w:p>
    <w:p>
      <w:pPr>
        <w:pStyle w:val="BodyText"/>
        <w:tabs>
          <w:tab w:pos="780" w:val="left" w:leader="none"/>
        </w:tabs>
        <w:spacing w:line="261" w:lineRule="auto" w:before="120"/>
        <w:ind w:left="780" w:right="38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Project-based accounting and cost allocation</w:t>
      </w:r>
    </w:p>
    <w:p>
      <w:pPr>
        <w:pStyle w:val="BodyText"/>
        <w:tabs>
          <w:tab w:pos="780" w:val="left" w:leader="none"/>
        </w:tabs>
        <w:spacing w:line="261" w:lineRule="auto" w:before="149"/>
        <w:ind w:left="780" w:right="280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Telecom infrastructure cost </w:t>
      </w:r>
      <w:r>
        <w:rPr>
          <w:color w:val="FFFFFF"/>
          <w:spacing w:val="-2"/>
          <w:w w:val="105"/>
        </w:rPr>
        <w:t>analysis</w:t>
      </w:r>
    </w:p>
    <w:p>
      <w:pPr>
        <w:pStyle w:val="BodyText"/>
        <w:tabs>
          <w:tab w:pos="780" w:val="left" w:leader="none"/>
        </w:tabs>
        <w:spacing w:line="278" w:lineRule="auto" w:before="134"/>
        <w:ind w:left="780" w:right="299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Vendor billing analysis and contract review</w:t>
      </w:r>
    </w:p>
    <w:p>
      <w:pPr>
        <w:pStyle w:val="BodyText"/>
        <w:tabs>
          <w:tab w:pos="780" w:val="left" w:leader="none"/>
        </w:tabs>
        <w:spacing w:line="268" w:lineRule="auto" w:before="119"/>
        <w:ind w:left="780" w:right="299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Financial dashboard development and burn rate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tabs>
          <w:tab w:pos="780" w:val="left" w:leader="none"/>
        </w:tabs>
        <w:spacing w:line="261" w:lineRule="auto" w:before="145"/>
        <w:ind w:left="780" w:right="943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Budgeting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software </w:t>
      </w:r>
      <w:r>
        <w:rPr>
          <w:color w:val="FFFFFF"/>
          <w:spacing w:val="-2"/>
          <w:w w:val="105"/>
        </w:rPr>
        <w:t>implementation</w:t>
      </w:r>
    </w:p>
    <w:p>
      <w:pPr>
        <w:pStyle w:val="BodyText"/>
        <w:tabs>
          <w:tab w:pos="780" w:val="left" w:leader="none"/>
        </w:tabs>
        <w:spacing w:line="278" w:lineRule="auto" w:before="134"/>
        <w:ind w:left="780" w:right="86" w:hanging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FFFFFF"/>
          <w:w w:val="105"/>
        </w:rPr>
        <w:t>Cross-functional coordination with engineering and IT</w:t>
      </w:r>
    </w:p>
    <w:p>
      <w:pPr>
        <w:pStyle w:val="BodyText"/>
        <w:spacing w:line="273" w:lineRule="auto" w:before="74"/>
        <w:ind w:left="418" w:right="95" w:hanging="1"/>
        <w:jc w:val="center"/>
      </w:pPr>
      <w:r>
        <w:rPr/>
        <w:br w:type="column"/>
      </w:r>
      <w:r>
        <w:rPr>
          <w:color w:val="0C0C0C"/>
          <w:w w:val="105"/>
        </w:rPr>
        <w:t>Budget analyst with 8+ years managing financial planning and capital investment budgets in the telecommunications sector. Develops and manages $75 million in</w:t>
      </w:r>
      <w:r>
        <w:rPr>
          <w:color w:val="0C0C0C"/>
          <w:spacing w:val="80"/>
          <w:w w:val="105"/>
        </w:rPr>
        <w:t> </w:t>
      </w:r>
      <w:r>
        <w:rPr>
          <w:color w:val="0C0C0C"/>
          <w:w w:val="105"/>
        </w:rPr>
        <w:t>OPEX and CAPEX budgets for infrastructure and IT at LoneStar Telecom,</w:t>
      </w:r>
      <w:r>
        <w:rPr>
          <w:color w:val="0C0C0C"/>
          <w:spacing w:val="40"/>
          <w:w w:val="105"/>
        </w:rPr>
        <w:t> </w:t>
      </w:r>
      <w:r>
        <w:rPr>
          <w:color w:val="0C0C0C"/>
          <w:w w:val="105"/>
        </w:rPr>
        <w:t>implemented budgeting software that reduced processing time by 40%, and identified</w:t>
      </w:r>
    </w:p>
    <w:p>
      <w:pPr>
        <w:pStyle w:val="BodyText"/>
        <w:spacing w:line="193" w:lineRule="exact"/>
        <w:ind w:left="395" w:right="75"/>
        <w:jc w:val="center"/>
      </w:pPr>
      <w:r>
        <w:rPr>
          <w:color w:val="0C0C0C"/>
          <w:w w:val="105"/>
        </w:rPr>
        <w:t>$1.2</w:t>
      </w:r>
      <w:r>
        <w:rPr>
          <w:color w:val="0C0C0C"/>
          <w:spacing w:val="9"/>
          <w:w w:val="105"/>
        </w:rPr>
        <w:t> </w:t>
      </w:r>
      <w:r>
        <w:rPr>
          <w:color w:val="0C0C0C"/>
          <w:w w:val="105"/>
        </w:rPr>
        <w:t>million</w:t>
      </w:r>
      <w:r>
        <w:rPr>
          <w:color w:val="0C0C0C"/>
          <w:spacing w:val="10"/>
          <w:w w:val="105"/>
        </w:rPr>
        <w:t> </w:t>
      </w:r>
      <w:r>
        <w:rPr>
          <w:color w:val="0C0C0C"/>
          <w:w w:val="105"/>
        </w:rPr>
        <w:t>in</w:t>
      </w:r>
      <w:r>
        <w:rPr>
          <w:color w:val="0C0C0C"/>
          <w:spacing w:val="9"/>
          <w:w w:val="105"/>
        </w:rPr>
        <w:t> </w:t>
      </w:r>
      <w:r>
        <w:rPr>
          <w:color w:val="0C0C0C"/>
          <w:w w:val="105"/>
        </w:rPr>
        <w:t>vendor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billing</w:t>
      </w:r>
      <w:r>
        <w:rPr>
          <w:color w:val="0C0C0C"/>
          <w:spacing w:val="10"/>
          <w:w w:val="105"/>
        </w:rPr>
        <w:t> </w:t>
      </w:r>
      <w:r>
        <w:rPr>
          <w:color w:val="0C0C0C"/>
          <w:w w:val="105"/>
        </w:rPr>
        <w:t>inefficiencies</w:t>
      </w:r>
      <w:r>
        <w:rPr>
          <w:color w:val="0C0C0C"/>
          <w:spacing w:val="10"/>
          <w:w w:val="105"/>
        </w:rPr>
        <w:t> </w:t>
      </w:r>
      <w:r>
        <w:rPr>
          <w:color w:val="0C0C0C"/>
          <w:w w:val="105"/>
        </w:rPr>
        <w:t>over</w:t>
      </w:r>
      <w:r>
        <w:rPr>
          <w:color w:val="0C0C0C"/>
          <w:spacing w:val="11"/>
          <w:w w:val="105"/>
        </w:rPr>
        <w:t> </w:t>
      </w:r>
      <w:r>
        <w:rPr>
          <w:color w:val="0C0C0C"/>
          <w:w w:val="105"/>
        </w:rPr>
        <w:t>2</w:t>
      </w:r>
      <w:r>
        <w:rPr>
          <w:color w:val="0C0C0C"/>
          <w:spacing w:val="10"/>
          <w:w w:val="105"/>
        </w:rPr>
        <w:t> </w:t>
      </w:r>
      <w:r>
        <w:rPr>
          <w:color w:val="0C0C0C"/>
          <w:w w:val="105"/>
        </w:rPr>
        <w:t>years</w:t>
      </w:r>
      <w:r>
        <w:rPr>
          <w:color w:val="0C0C0C"/>
          <w:spacing w:val="10"/>
          <w:w w:val="105"/>
        </w:rPr>
        <w:t> </w:t>
      </w:r>
      <w:r>
        <w:rPr>
          <w:color w:val="0C0C0C"/>
          <w:w w:val="105"/>
        </w:rPr>
        <w:t>at</w:t>
      </w:r>
      <w:r>
        <w:rPr>
          <w:color w:val="0C0C0C"/>
          <w:spacing w:val="11"/>
          <w:w w:val="105"/>
        </w:rPr>
        <w:t> </w:t>
      </w:r>
      <w:r>
        <w:rPr>
          <w:color w:val="0C0C0C"/>
          <w:spacing w:val="-2"/>
          <w:w w:val="105"/>
        </w:rPr>
        <w:t>CommWave</w:t>
      </w:r>
    </w:p>
    <w:p>
      <w:pPr>
        <w:pStyle w:val="BodyText"/>
        <w:spacing w:line="268" w:lineRule="auto" w:before="33"/>
        <w:ind w:left="395" w:right="72"/>
        <w:jc w:val="center"/>
      </w:pPr>
      <w:r>
        <w:rPr>
          <w:color w:val="0C0C0C"/>
          <w:w w:val="105"/>
        </w:rPr>
        <w:t>Communications. Skilled in project-based accounting, capital expenditure planning, financial modeling, and cross-functional coordination with operations, IT, and engineering teams.</w:t>
      </w: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2447924</wp:posOffset>
                </wp:positionH>
                <wp:positionV relativeFrom="paragraph">
                  <wp:posOffset>132816</wp:posOffset>
                </wp:positionV>
                <wp:extent cx="4819650" cy="190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8196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9650" h="19050">
                              <a:moveTo>
                                <a:pt x="48196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819649" y="0"/>
                              </a:lnTo>
                              <a:lnTo>
                                <a:pt x="48196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2.749985pt;margin-top:10.457969pt;width:379.49997pt;height:1.5pt;mso-position-horizontal-relative:page;mso-position-vertical-relative:paragraph;z-index:-15728640;mso-wrap-distance-left:0;mso-wrap-distance-right:0" id="docshape10" filled="true" fillcolor="#000000" stroked="false">
                <v:fill opacity="32899f" type="solid"/>
                <w10:wrap type="topAndBottom"/>
              </v:rect>
            </w:pict>
          </mc:Fallback>
        </mc:AlternateContent>
      </w:r>
    </w:p>
    <w:p>
      <w:pPr>
        <w:pStyle w:val="BodyText"/>
      </w:pPr>
    </w:p>
    <w:p>
      <w:pPr>
        <w:pStyle w:val="Heading2"/>
        <w:spacing w:before="1"/>
      </w:pPr>
      <w:r>
        <w:rPr>
          <w:color w:val="0C0C0C"/>
          <w:sz w:val="37"/>
        </w:rPr>
        <w:t>P</w:t>
      </w:r>
      <w:r>
        <w:rPr>
          <w:color w:val="0C0C0C"/>
        </w:rPr>
        <w:t>rofessional</w:t>
      </w:r>
      <w:r>
        <w:rPr>
          <w:color w:val="0C0C0C"/>
          <w:spacing w:val="39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331" w:lineRule="auto" w:before="247"/>
        <w:ind w:left="297" w:right="1515"/>
      </w:pPr>
      <w:r>
        <w:rPr>
          <w:w w:val="105"/>
        </w:rPr>
        <w:t>BUDGET</w:t>
      </w:r>
      <w:r>
        <w:rPr>
          <w:spacing w:val="-11"/>
          <w:w w:val="105"/>
        </w:rPr>
        <w:t> </w:t>
      </w:r>
      <w:r>
        <w:rPr>
          <w:w w:val="105"/>
        </w:rPr>
        <w:t>ANALYST</w:t>
      </w:r>
      <w:r>
        <w:rPr>
          <w:spacing w:val="-1"/>
          <w:w w:val="105"/>
        </w:rPr>
        <w:t> </w:t>
      </w:r>
      <w:r>
        <w:rPr>
          <w:w w:val="105"/>
        </w:rPr>
        <w:t>| LONESTAR</w:t>
      </w:r>
      <w:r>
        <w:rPr>
          <w:spacing w:val="-1"/>
          <w:w w:val="105"/>
        </w:rPr>
        <w:t> </w:t>
      </w:r>
      <w:r>
        <w:rPr>
          <w:w w:val="105"/>
        </w:rPr>
        <w:t>TELECOM, DALLAS,</w:t>
      </w:r>
      <w:r>
        <w:rPr>
          <w:spacing w:val="-1"/>
          <w:w w:val="105"/>
        </w:rPr>
        <w:t> </w:t>
      </w:r>
      <w:r>
        <w:rPr>
          <w:w w:val="105"/>
        </w:rPr>
        <w:t>TX FEBRUARY 2019 - PRESENT</w:t>
      </w:r>
    </w:p>
    <w:p>
      <w:pPr>
        <w:pStyle w:val="BodyText"/>
        <w:tabs>
          <w:tab w:pos="817" w:val="left" w:leader="none"/>
        </w:tabs>
        <w:spacing w:line="268" w:lineRule="auto" w:before="194"/>
        <w:ind w:left="817" w:right="497" w:hanging="297"/>
        <w:jc w:val="both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 and manage a $75 million combined OPEX and CAPEX budget for infrastructure expansion and IT operations, aligning project-level spending with quarterly financial targets</w:t>
      </w:r>
    </w:p>
    <w:p>
      <w:pPr>
        <w:pStyle w:val="BodyText"/>
        <w:tabs>
          <w:tab w:pos="817" w:val="left" w:leader="none"/>
        </w:tabs>
        <w:spacing w:line="268" w:lineRule="auto" w:before="100"/>
        <w:ind w:left="817" w:right="550" w:hanging="29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Track project costs for fiber expansion program across 8 active markets, providing monthly variance reports to executive leadership with root cause</w:t>
      </w:r>
      <w:r>
        <w:rPr>
          <w:spacing w:val="40"/>
          <w:w w:val="105"/>
        </w:rPr>
        <w:t> </w:t>
      </w:r>
      <w:r>
        <w:rPr>
          <w:w w:val="105"/>
        </w:rPr>
        <w:t>analysis and recovery plans</w:t>
      </w:r>
    </w:p>
    <w:p>
      <w:pPr>
        <w:pStyle w:val="BodyText"/>
        <w:tabs>
          <w:tab w:pos="817" w:val="left" w:leader="none"/>
        </w:tabs>
        <w:spacing w:line="268" w:lineRule="auto" w:before="99"/>
        <w:ind w:left="817" w:right="304" w:hanging="29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cloud-based budgeting software system, reducing financial data</w:t>
      </w:r>
      <w:r>
        <w:rPr>
          <w:spacing w:val="80"/>
          <w:w w:val="105"/>
        </w:rPr>
        <w:t> </w:t>
      </w:r>
      <w:r>
        <w:rPr>
          <w:w w:val="105"/>
        </w:rPr>
        <w:t>processing</w:t>
      </w:r>
      <w:r>
        <w:rPr>
          <w:spacing w:val="40"/>
          <w:w w:val="105"/>
        </w:rPr>
        <w:t> </w:t>
      </w:r>
      <w:r>
        <w:rPr>
          <w:w w:val="105"/>
        </w:rPr>
        <w:t>time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40%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enabling</w:t>
      </w:r>
      <w:r>
        <w:rPr>
          <w:spacing w:val="40"/>
          <w:w w:val="105"/>
        </w:rPr>
        <w:t> </w:t>
      </w:r>
      <w:r>
        <w:rPr>
          <w:w w:val="105"/>
        </w:rPr>
        <w:t>real-time</w:t>
      </w:r>
      <w:r>
        <w:rPr>
          <w:spacing w:val="40"/>
          <w:w w:val="105"/>
        </w:rPr>
        <w:t> </w:t>
      </w:r>
      <w:r>
        <w:rPr>
          <w:w w:val="105"/>
        </w:rPr>
        <w:t>budget</w:t>
      </w:r>
      <w:r>
        <w:rPr>
          <w:spacing w:val="40"/>
          <w:w w:val="105"/>
        </w:rPr>
        <w:t> </w:t>
      </w:r>
      <w:r>
        <w:rPr>
          <w:w w:val="105"/>
        </w:rPr>
        <w:t>visibility</w:t>
      </w:r>
      <w:r>
        <w:rPr>
          <w:spacing w:val="40"/>
          <w:w w:val="105"/>
        </w:rPr>
        <w:t> </w:t>
      </w:r>
      <w:r>
        <w:rPr>
          <w:w w:val="105"/>
        </w:rPr>
        <w:t>for department managers</w:t>
      </w:r>
    </w:p>
    <w:p>
      <w:pPr>
        <w:pStyle w:val="BodyText"/>
        <w:tabs>
          <w:tab w:pos="817" w:val="left" w:leader="none"/>
        </w:tabs>
        <w:spacing w:line="268" w:lineRule="auto" w:before="100"/>
        <w:ind w:left="817" w:right="550" w:hanging="29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 with engineering and IT project managers to develop capital project</w:t>
      </w:r>
      <w:r>
        <w:rPr>
          <w:spacing w:val="40"/>
          <w:w w:val="105"/>
        </w:rPr>
        <w:t> </w:t>
      </w:r>
      <w:r>
        <w:rPr>
          <w:w w:val="105"/>
        </w:rPr>
        <w:t>budgets, reviewing spend requests and ensuring alignment with approved</w:t>
      </w:r>
      <w:r>
        <w:rPr>
          <w:spacing w:val="40"/>
          <w:w w:val="105"/>
        </w:rPr>
        <w:t> </w:t>
      </w:r>
      <w:r>
        <w:rPr>
          <w:w w:val="105"/>
        </w:rPr>
        <w:t>CAPEX authorizations</w:t>
      </w:r>
    </w:p>
    <w:p>
      <w:pPr>
        <w:pStyle w:val="BodyText"/>
        <w:tabs>
          <w:tab w:pos="817" w:val="left" w:leader="none"/>
        </w:tabs>
        <w:spacing w:line="268" w:lineRule="auto" w:before="99"/>
        <w:ind w:left="817" w:right="505" w:hanging="297"/>
        <w:jc w:val="both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 quarterly financial presentations for executive leadership on OPEX trends, CAPEX utilization, and year-end projections, supporting board-level capital allocation decisions</w:t>
      </w:r>
    </w:p>
    <w:p>
      <w:pPr>
        <w:pStyle w:val="BodyText"/>
        <w:tabs>
          <w:tab w:pos="817" w:val="left" w:leader="none"/>
        </w:tabs>
        <w:spacing w:line="278" w:lineRule="auto" w:before="85"/>
        <w:ind w:left="817" w:right="253" w:hanging="297"/>
        <w:jc w:val="both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Monitor monthly burn rate dashboards for 12 cost centers, identifying areas of overspend or underspend and recommending reallocation before quarter-end </w:t>
      </w:r>
      <w:r>
        <w:rPr>
          <w:spacing w:val="-2"/>
          <w:w w:val="105"/>
        </w:rPr>
        <w:t>deadlines</w:t>
      </w:r>
    </w:p>
    <w:p>
      <w:pPr>
        <w:pStyle w:val="BodyText"/>
        <w:spacing w:before="2"/>
      </w:pPr>
    </w:p>
    <w:p>
      <w:pPr>
        <w:pStyle w:val="BodyText"/>
        <w:spacing w:line="331" w:lineRule="auto" w:before="1"/>
        <w:ind w:left="297" w:right="1052"/>
      </w:pPr>
      <w:r>
        <w:rPr>
          <w:w w:val="105"/>
        </w:rPr>
        <w:t>FINANCE</w:t>
      </w:r>
      <w:r>
        <w:rPr>
          <w:spacing w:val="-9"/>
          <w:w w:val="105"/>
        </w:rPr>
        <w:t> </w:t>
      </w:r>
      <w:r>
        <w:rPr>
          <w:w w:val="105"/>
        </w:rPr>
        <w:t>ANALYST</w:t>
      </w:r>
      <w:r>
        <w:rPr>
          <w:spacing w:val="-2"/>
          <w:w w:val="105"/>
        </w:rPr>
        <w:t> </w:t>
      </w:r>
      <w:r>
        <w:rPr>
          <w:w w:val="105"/>
        </w:rPr>
        <w:t>| COMMWAVE COMMUNICATIONS, DALLAS,</w:t>
      </w:r>
      <w:r>
        <w:rPr>
          <w:spacing w:val="-2"/>
          <w:w w:val="105"/>
        </w:rPr>
        <w:t> </w:t>
      </w:r>
      <w:r>
        <w:rPr>
          <w:w w:val="105"/>
        </w:rPr>
        <w:t>TX JULY 2015 - JANUARY 2019</w:t>
      </w:r>
    </w:p>
    <w:p>
      <w:pPr>
        <w:pStyle w:val="BodyText"/>
        <w:tabs>
          <w:tab w:pos="817" w:val="left" w:leader="none"/>
        </w:tabs>
        <w:spacing w:line="268" w:lineRule="auto" w:before="193"/>
        <w:ind w:left="817" w:right="304" w:hanging="29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4 business units with forecasting tools and capital investment</w:t>
      </w:r>
      <w:r>
        <w:rPr>
          <w:spacing w:val="40"/>
          <w:w w:val="105"/>
        </w:rPr>
        <w:t> </w:t>
      </w:r>
      <w:r>
        <w:rPr>
          <w:w w:val="105"/>
        </w:rPr>
        <w:t>request documentation, enabling consistent financial analysis across network upgrade and expansion proposals</w:t>
      </w:r>
    </w:p>
    <w:p>
      <w:pPr>
        <w:pStyle w:val="BodyText"/>
        <w:tabs>
          <w:tab w:pos="817" w:val="left" w:leader="none"/>
        </w:tabs>
        <w:spacing w:line="268" w:lineRule="auto" w:before="100"/>
        <w:ind w:left="817" w:right="281" w:hanging="29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Identified $1.2 million in vendor billing inefficiencies over 2 years through</w:t>
      </w:r>
      <w:r>
        <w:rPr>
          <w:spacing w:val="40"/>
          <w:w w:val="105"/>
        </w:rPr>
        <w:t> </w:t>
      </w:r>
      <w:r>
        <w:rPr>
          <w:w w:val="105"/>
        </w:rPr>
        <w:t>systematic</w:t>
      </w:r>
      <w:r>
        <w:rPr>
          <w:spacing w:val="35"/>
          <w:w w:val="105"/>
        </w:rPr>
        <w:t> </w:t>
      </w:r>
      <w:r>
        <w:rPr>
          <w:w w:val="105"/>
        </w:rPr>
        <w:t>invoice</w:t>
      </w:r>
      <w:r>
        <w:rPr>
          <w:spacing w:val="35"/>
          <w:w w:val="105"/>
        </w:rPr>
        <w:t> </w:t>
      </w:r>
      <w:r>
        <w:rPr>
          <w:w w:val="105"/>
        </w:rPr>
        <w:t>auditing,</w:t>
      </w:r>
      <w:r>
        <w:rPr>
          <w:spacing w:val="35"/>
          <w:w w:val="105"/>
        </w:rPr>
        <w:t> </w:t>
      </w:r>
      <w:r>
        <w:rPr>
          <w:w w:val="105"/>
        </w:rPr>
        <w:t>recovering</w:t>
      </w:r>
      <w:r>
        <w:rPr>
          <w:spacing w:val="35"/>
          <w:w w:val="105"/>
        </w:rPr>
        <w:t> </w:t>
      </w:r>
      <w:r>
        <w:rPr>
          <w:w w:val="105"/>
        </w:rPr>
        <w:t>overbilled</w:t>
      </w:r>
      <w:r>
        <w:rPr>
          <w:spacing w:val="35"/>
          <w:w w:val="105"/>
        </w:rPr>
        <w:t> </w:t>
      </w:r>
      <w:r>
        <w:rPr>
          <w:w w:val="105"/>
        </w:rPr>
        <w:t>amounts,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renegotiating 3 vendor contracts</w:t>
      </w:r>
    </w:p>
    <w:p>
      <w:pPr>
        <w:pStyle w:val="BodyText"/>
        <w:tabs>
          <w:tab w:pos="817" w:val="left" w:leader="none"/>
        </w:tabs>
        <w:spacing w:line="268" w:lineRule="auto" w:before="99"/>
        <w:ind w:left="817" w:right="550" w:hanging="29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monthly burn rate financial dashboards tracking 8 cost centers,</w:t>
      </w:r>
      <w:r>
        <w:rPr>
          <w:spacing w:val="40"/>
          <w:w w:val="105"/>
        </w:rPr>
        <w:t> </w:t>
      </w:r>
      <w:r>
        <w:rPr>
          <w:w w:val="105"/>
        </w:rPr>
        <w:t>providing managers with real-time visibility into departmental spend versus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budget</w:t>
      </w:r>
    </w:p>
    <w:p>
      <w:pPr>
        <w:pStyle w:val="BodyText"/>
        <w:spacing w:before="15"/>
      </w:pPr>
    </w:p>
    <w:p>
      <w:pPr>
        <w:pStyle w:val="Heading2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0" w:bottom="0" w:left="0" w:right="283"/>
          <w:cols w:num="2" w:equalWidth="0">
            <w:col w:w="3381" w:space="432"/>
            <w:col w:w="7824"/>
          </w:cols>
        </w:sectPr>
      </w:pPr>
    </w:p>
    <w:p>
      <w:pPr>
        <w:pStyle w:val="BodyText"/>
        <w:spacing w:before="4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47925" cy="1070483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44792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47925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447924" y="0"/>
                              </a:lnTo>
                              <a:lnTo>
                                <a:pt x="2447924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4E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192.749983pt;height:842.879997pt;mso-position-horizontal-relative:page;mso-position-vertical-relative:page;z-index:-15800832" id="docshape11" filled="true" fillcolor="#134e5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tabs>
          <w:tab w:pos="4407" w:val="left" w:leader="none"/>
        </w:tabs>
        <w:ind w:left="4109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Bachelor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Business</w:t>
      </w:r>
      <w:r>
        <w:rPr>
          <w:spacing w:val="16"/>
          <w:w w:val="105"/>
        </w:rPr>
        <w:t> </w:t>
      </w:r>
      <w:r>
        <w:rPr>
          <w:w w:val="105"/>
        </w:rPr>
        <w:t>Administration</w:t>
      </w:r>
      <w:r>
        <w:rPr>
          <w:spacing w:val="16"/>
          <w:w w:val="105"/>
        </w:rPr>
        <w:t> </w:t>
      </w:r>
      <w:r>
        <w:rPr>
          <w:w w:val="105"/>
        </w:rPr>
        <w:t>(B.B.A.)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after="0"/>
        <w:sectPr>
          <w:type w:val="continuous"/>
          <w:pgSz w:w="11920" w:h="16860"/>
          <w:pgMar w:top="0" w:bottom="0" w:left="0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47925" cy="1070483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244792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47925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447924" y="0"/>
                              </a:lnTo>
                              <a:lnTo>
                                <a:pt x="2447924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4E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192.749983pt;height:842.879997pt;mso-position-horizontal-relative:page;mso-position-vertical-relative:page;z-index:-15798784" id="docshape12" filled="true" fillcolor="#134e5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34"/>
      </w:pPr>
    </w:p>
    <w:p>
      <w:pPr>
        <w:pStyle w:val="BodyText"/>
        <w:ind w:left="4407"/>
      </w:pPr>
      <w:r>
        <w:rPr/>
        <w:t>University</w:t>
      </w:r>
      <w:r>
        <w:rPr>
          <w:spacing w:val="23"/>
        </w:rPr>
        <w:t> </w:t>
      </w:r>
      <w:r>
        <w:rPr/>
        <w:t>of</w:t>
      </w:r>
      <w:r>
        <w:rPr>
          <w:spacing w:val="24"/>
        </w:rPr>
        <w:t> </w:t>
      </w:r>
      <w:r>
        <w:rPr/>
        <w:t>Texas</w:t>
      </w:r>
      <w:r>
        <w:rPr>
          <w:spacing w:val="23"/>
        </w:rPr>
        <w:t> </w:t>
      </w:r>
      <w:r>
        <w:rPr/>
        <w:t>at</w:t>
      </w:r>
      <w:r>
        <w:rPr>
          <w:spacing w:val="24"/>
        </w:rPr>
        <w:t> </w:t>
      </w:r>
      <w:r>
        <w:rPr/>
        <w:t>Dallas,</w:t>
      </w:r>
      <w:r>
        <w:rPr>
          <w:spacing w:val="23"/>
        </w:rPr>
        <w:t> </w:t>
      </w:r>
      <w:r>
        <w:rPr/>
        <w:t>Dallas,</w:t>
      </w:r>
      <w:r>
        <w:rPr>
          <w:spacing w:val="24"/>
        </w:rPr>
        <w:t> </w:t>
      </w:r>
      <w:r>
        <w:rPr/>
        <w:t>TX</w:t>
      </w:r>
      <w:r>
        <w:rPr>
          <w:spacing w:val="24"/>
        </w:rPr>
        <w:t> </w:t>
      </w:r>
      <w:r>
        <w:rPr/>
        <w:t>|</w:t>
      </w:r>
      <w:r>
        <w:rPr>
          <w:spacing w:val="23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2015</w:t>
      </w:r>
    </w:p>
    <w:sectPr>
      <w:pgSz w:w="11920" w:h="16860"/>
      <w:pgMar w:top="0" w:bottom="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9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2026-03-12T15:02:26Z</dcterms:created>
  <dcterms:modified xsi:type="dcterms:W3CDTF">2026-03-12T15:02:26Z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