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37"/>
        <w:rPr>
          <w:rFonts w:ascii="Times New Roman"/>
          <w:sz w:val="74"/>
        </w:rPr>
      </w:pPr>
    </w:p>
    <w:p>
      <w:pPr>
        <w:spacing w:before="0"/>
        <w:ind w:left="4467" w:right="998" w:firstLine="0"/>
        <w:jc w:val="center"/>
        <w:rPr>
          <w:sz w:val="74"/>
        </w:rPr>
      </w:pPr>
      <w:r>
        <w:rPr>
          <w:sz w:val="7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875407</wp:posOffset>
                </wp:positionH>
                <wp:positionV relativeFrom="paragraph">
                  <wp:posOffset>480694</wp:posOffset>
                </wp:positionV>
                <wp:extent cx="821690" cy="56705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21690" cy="567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76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929688pt;margin-top:37.849937pt;width:64.7pt;height:44.65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876" w:lineRule="exact" w:before="0"/>
                        <w:ind w:left="0" w:right="0" w:firstLine="0"/>
                        <w:jc w:val="left"/>
                        <w:rPr>
                          <w:b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4560F"/>
          <w:spacing w:val="11"/>
          <w:sz w:val="74"/>
        </w:rPr>
        <w:t>Casey</w:t>
      </w:r>
      <w:r>
        <w:rPr>
          <w:color w:val="24560F"/>
          <w:spacing w:val="32"/>
          <w:sz w:val="74"/>
        </w:rPr>
        <w:t> </w:t>
      </w:r>
      <w:r>
        <w:rPr>
          <w:color w:val="24560F"/>
          <w:spacing w:val="9"/>
          <w:sz w:val="74"/>
        </w:rPr>
        <w:t>Davis</w:t>
      </w:r>
    </w:p>
    <w:p>
      <w:pPr>
        <w:pStyle w:val="BodyText"/>
        <w:spacing w:before="154"/>
        <w:ind w:left="4467" w:right="986"/>
        <w:jc w:val="center"/>
      </w:pPr>
      <w:r>
        <w:rPr>
          <w:color w:val="24560F"/>
          <w:spacing w:val="2"/>
        </w:rPr>
        <w:t>Securities</w:t>
      </w:r>
      <w:r>
        <w:rPr>
          <w:color w:val="24560F"/>
          <w:spacing w:val="28"/>
        </w:rPr>
        <w:t> </w:t>
      </w:r>
      <w:r>
        <w:rPr>
          <w:color w:val="24560F"/>
          <w:spacing w:val="-2"/>
        </w:rPr>
        <w:t>Attorney</w:t>
      </w:r>
    </w:p>
    <w:p>
      <w:pPr>
        <w:pStyle w:val="BodyText"/>
        <w:spacing w:before="10"/>
      </w:pPr>
    </w:p>
    <w:p>
      <w:pPr>
        <w:spacing w:line="273" w:lineRule="auto" w:before="0"/>
        <w:ind w:left="4467" w:right="984" w:firstLine="0"/>
        <w:jc w:val="center"/>
        <w:rPr>
          <w:sz w:val="16"/>
        </w:rPr>
      </w:pPr>
      <w:r>
        <w:rPr>
          <w:color w:val="24560F"/>
          <w:w w:val="105"/>
          <w:sz w:val="16"/>
        </w:rPr>
        <w:t>Detail-oriented securities attorney with 6+ years advising on SEC compliance,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public offerings, and investor-relations disclosures. Filed 15 Form S-1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registrations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and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3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shelf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offerings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with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first-submission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effectiveness, responded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to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50+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SEC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comment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letters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reducing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resubmission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delays</w:t>
      </w:r>
      <w:r>
        <w:rPr>
          <w:color w:val="24560F"/>
          <w:spacing w:val="37"/>
          <w:w w:val="105"/>
          <w:sz w:val="16"/>
        </w:rPr>
        <w:t> </w:t>
      </w:r>
      <w:r>
        <w:rPr>
          <w:color w:val="24560F"/>
          <w:w w:val="105"/>
          <w:sz w:val="16"/>
        </w:rPr>
        <w:t>by 40%, and managed 100% on-time annual and quarterly reporting for 10 public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entities. Expert in capital markets transactions, registration statements, and</w:t>
      </w:r>
      <w:r>
        <w:rPr>
          <w:color w:val="24560F"/>
          <w:spacing w:val="40"/>
          <w:w w:val="105"/>
          <w:sz w:val="16"/>
        </w:rPr>
        <w:t> </w:t>
      </w:r>
      <w:r>
        <w:rPr>
          <w:color w:val="24560F"/>
          <w:w w:val="105"/>
          <w:sz w:val="16"/>
        </w:rPr>
        <w:t>ongoing reporting obligations.</w:t>
      </w:r>
    </w:p>
    <w:p>
      <w:pPr>
        <w:pStyle w:val="BodyText"/>
        <w:spacing w:before="23"/>
        <w:rPr>
          <w:sz w:val="22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-21332</wp:posOffset>
                </wp:positionV>
                <wp:extent cx="4920615" cy="2667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266700"/>
                        </a:xfrm>
                        <a:prstGeom prst="rect">
                          <a:avLst/>
                        </a:prstGeom>
                        <a:solidFill>
                          <a:srgbClr val="24560F"/>
                        </a:solidFill>
                      </wps:spPr>
                      <wps:txbx>
                        <w:txbxContent>
                          <w:p>
                            <w:pPr>
                              <w:spacing w:before="7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5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-1.679706pt;width:387.45pt;height:21pt;mso-position-horizontal-relative:page;mso-position-vertical-relative:paragraph;z-index:15729664" type="#_x0000_t202" id="docshape2" filled="true" fillcolor="#24560f" stroked="false">
                <v:textbox inset="0,0,0,0">
                  <w:txbxContent>
                    <w:p>
                      <w:pPr>
                        <w:spacing w:before="7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54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4560F"/>
        </w:rPr>
        <w:t>CONTACT</w:t>
      </w:r>
      <w:r>
        <w:rPr>
          <w:color w:val="24560F"/>
          <w:spacing w:val="20"/>
        </w:rPr>
        <w:t> </w:t>
      </w:r>
      <w:r>
        <w:rPr>
          <w:color w:val="24560F"/>
          <w:spacing w:val="-2"/>
        </w:rPr>
        <w:t>INFORMATION</w:t>
      </w:r>
    </w:p>
    <w:p>
      <w:pPr>
        <w:pStyle w:val="BodyText"/>
        <w:spacing w:before="1"/>
        <w:rPr>
          <w:b/>
          <w:sz w:val="19"/>
        </w:rPr>
      </w:pPr>
    </w:p>
    <w:p>
      <w:pPr>
        <w:pStyle w:val="BodyText"/>
        <w:spacing w:after="0"/>
        <w:rPr>
          <w:b/>
          <w:sz w:val="1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3"/>
        <w:rPr>
          <w:b/>
        </w:rPr>
      </w:pPr>
    </w:p>
    <w:p>
      <w:pPr>
        <w:pStyle w:val="BodyText"/>
        <w:spacing w:before="0"/>
        <w:ind w:left="820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1"/>
      </w:pPr>
    </w:p>
    <w:p>
      <w:pPr>
        <w:pStyle w:val="BodyText"/>
        <w:spacing w:line="590" w:lineRule="auto" w:before="0"/>
        <w:ind w:left="820" w:right="55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192"/>
      </w:pPr>
    </w:p>
    <w:p>
      <w:pPr>
        <w:pStyle w:val="Heading1"/>
      </w:pPr>
      <w:r>
        <w:rPr>
          <w:color w:val="24560F"/>
        </w:rPr>
        <w:t>KEY</w:t>
      </w:r>
      <w:r>
        <w:rPr>
          <w:color w:val="24560F"/>
          <w:spacing w:val="14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before="161"/>
        <w:rPr>
          <w:b/>
          <w:sz w:val="22"/>
        </w:rPr>
      </w:pPr>
    </w:p>
    <w:p>
      <w:pPr>
        <w:pStyle w:val="BodyText"/>
        <w:spacing w:line="278" w:lineRule="auto" w:before="1"/>
        <w:ind w:left="690"/>
      </w:pPr>
      <w:r>
        <w:rPr>
          <w:color w:val="FFFFFF"/>
          <w:w w:val="105"/>
        </w:rPr>
        <w:t>Form S-1 and shelf-offering registration drafting</w:t>
      </w:r>
    </w:p>
    <w:p>
      <w:pPr>
        <w:pStyle w:val="BodyText"/>
        <w:spacing w:line="261" w:lineRule="auto" w:before="89"/>
        <w:ind w:left="690"/>
      </w:pPr>
      <w:r>
        <w:rPr>
          <w:color w:val="FFFFFF"/>
          <w:w w:val="105"/>
        </w:rPr>
        <w:t>SEC comment-letter response and negotiation</w:t>
      </w:r>
    </w:p>
    <w:p>
      <w:pPr>
        <w:pStyle w:val="BodyText"/>
        <w:spacing w:line="278" w:lineRule="auto" w:before="104"/>
        <w:ind w:left="690" w:right="113"/>
      </w:pPr>
      <w:r>
        <w:rPr>
          <w:color w:val="FFFFFF"/>
          <w:w w:val="105"/>
        </w:rPr>
        <w:t>Ongoing reporting compliance (10-K, 10-Q, 8-K)</w:t>
      </w:r>
    </w:p>
    <w:p>
      <w:pPr>
        <w:pStyle w:val="BodyText"/>
        <w:spacing w:line="278" w:lineRule="auto" w:before="75"/>
        <w:ind w:left="690"/>
      </w:pPr>
      <w:r>
        <w:rPr>
          <w:color w:val="FFFFFF"/>
          <w:w w:val="105"/>
        </w:rPr>
        <w:t>IPO due diligence and capital markets transactions</w:t>
      </w:r>
    </w:p>
    <w:p>
      <w:pPr>
        <w:pStyle w:val="BodyText"/>
        <w:spacing w:line="261" w:lineRule="auto" w:before="90"/>
        <w:ind w:left="690" w:right="153"/>
      </w:pPr>
      <w:r>
        <w:rPr>
          <w:color w:val="FFFFFF"/>
          <w:w w:val="105"/>
        </w:rPr>
        <w:t>Regulatory audit readiness and examination prep</w:t>
      </w:r>
    </w:p>
    <w:p>
      <w:pPr>
        <w:pStyle w:val="BodyText"/>
        <w:spacing w:line="261" w:lineRule="auto" w:before="104"/>
        <w:ind w:left="690"/>
      </w:pPr>
      <w:r>
        <w:rPr>
          <w:color w:val="FFFFFF"/>
          <w:w w:val="105"/>
        </w:rPr>
        <w:t>Investor-relations disclosure </w:t>
      </w:r>
      <w:r>
        <w:rPr>
          <w:color w:val="FFFFFF"/>
          <w:spacing w:val="-2"/>
          <w:w w:val="105"/>
        </w:rPr>
        <w:t>advisory</w:t>
      </w:r>
    </w:p>
    <w:p>
      <w:pPr>
        <w:pStyle w:val="BodyText"/>
        <w:spacing w:line="278" w:lineRule="auto" w:before="103"/>
        <w:ind w:left="690"/>
      </w:pPr>
      <w:r>
        <w:rPr>
          <w:color w:val="FFFFFF"/>
          <w:w w:val="105"/>
        </w:rPr>
        <w:t>Debt and equity offering </w:t>
      </w:r>
      <w:r>
        <w:rPr>
          <w:color w:val="FFFFFF"/>
          <w:spacing w:val="-2"/>
          <w:w w:val="105"/>
        </w:rPr>
        <w:t>documentation</w:t>
      </w:r>
    </w:p>
    <w:p>
      <w:pPr>
        <w:pStyle w:val="BodyText"/>
        <w:spacing w:line="261" w:lineRule="auto" w:before="90"/>
        <w:ind w:left="690"/>
      </w:pPr>
      <w:r>
        <w:rPr>
          <w:color w:val="FFFFFF"/>
          <w:w w:val="105"/>
        </w:rPr>
        <w:t>Securities compliance program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61" w:lineRule="auto" w:before="104"/>
        <w:ind w:left="690"/>
      </w:pPr>
      <w:r>
        <w:rPr>
          <w:color w:val="FFFFFF"/>
          <w:w w:val="105"/>
        </w:rPr>
        <w:t>SEC and FINRA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regulatory </w:t>
      </w:r>
      <w:r>
        <w:rPr>
          <w:color w:val="FFFFFF"/>
          <w:spacing w:val="-2"/>
          <w:w w:val="105"/>
        </w:rPr>
        <w:t>advisory</w:t>
      </w:r>
    </w:p>
    <w:p>
      <w:pPr>
        <w:pStyle w:val="BodyText"/>
        <w:spacing w:before="75"/>
        <w:ind w:left="114"/>
      </w:pPr>
      <w:r>
        <w:rPr/>
        <w:br w:type="column"/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4"/>
      </w:pPr>
      <w:r>
        <w:rPr>
          <w:w w:val="105"/>
        </w:rPr>
        <w:t>Securities</w:t>
      </w:r>
      <w:r>
        <w:rPr>
          <w:spacing w:val="7"/>
          <w:w w:val="105"/>
        </w:rPr>
        <w:t> </w:t>
      </w:r>
      <w:r>
        <w:rPr>
          <w:w w:val="105"/>
        </w:rPr>
        <w:t>Counsel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MarketTrust</w:t>
      </w:r>
      <w:r>
        <w:rPr>
          <w:spacing w:val="7"/>
          <w:w w:val="105"/>
        </w:rPr>
        <w:t> </w:t>
      </w:r>
      <w:r>
        <w:rPr>
          <w:w w:val="105"/>
        </w:rPr>
        <w:t>Capital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City,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53" w:after="0"/>
        <w:ind w:left="895" w:right="499" w:hanging="304"/>
        <w:jc w:val="left"/>
        <w:rPr>
          <w:sz w:val="18"/>
        </w:rPr>
      </w:pPr>
      <w:r>
        <w:rPr>
          <w:w w:val="105"/>
          <w:sz w:val="18"/>
        </w:rPr>
        <w:t>Prepared and filed 15 Form S-1 registration statements and 3 shelf offerings, securing SEC effectiveness on first submission for all 18 filings without deficiency letters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99" w:after="0"/>
        <w:ind w:left="895" w:right="695" w:hanging="304"/>
        <w:jc w:val="left"/>
        <w:rPr>
          <w:sz w:val="18"/>
        </w:rPr>
      </w:pPr>
      <w:r>
        <w:rPr>
          <w:w w:val="105"/>
          <w:sz w:val="18"/>
        </w:rPr>
        <w:t>Responded to 50+ SEC comment letters within 30-day review cycles, reducing resubmission delays by 40% through proactive pre-response conferences with SEC staff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00" w:after="0"/>
        <w:ind w:left="895" w:right="269" w:hanging="304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entities,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 100% on-time filing compliance across 4 years with zero late disclosures or SEC inquiries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99" w:after="0"/>
        <w:ind w:left="895" w:right="439" w:hanging="304"/>
        <w:jc w:val="left"/>
        <w:rPr>
          <w:sz w:val="18"/>
        </w:rPr>
      </w:pPr>
      <w:r>
        <w:rPr>
          <w:w w:val="105"/>
          <w:sz w:val="18"/>
        </w:rPr>
        <w:t>Advised management and investor relations teams on material disclosure obligations for 25 significant corporate events, ensuring 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Regulation FD and insider trading policies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00" w:after="0"/>
        <w:ind w:left="895" w:right="517" w:hanging="304"/>
        <w:jc w:val="left"/>
        <w:rPr>
          <w:sz w:val="18"/>
        </w:rPr>
      </w:pPr>
      <w:r>
        <w:rPr>
          <w:w w:val="105"/>
          <w:sz w:val="18"/>
        </w:rPr>
        <w:t>Coordinated EDGAR filing logistics for 80+ periodic and current reports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annually, managing filing agent relationships and maintaining a real-time compliance calendar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00" w:after="0"/>
        <w:ind w:left="895" w:right="532" w:hanging="304"/>
        <w:jc w:val="left"/>
        <w:rPr>
          <w:sz w:val="18"/>
        </w:rPr>
      </w:pPr>
      <w:r>
        <w:rPr>
          <w:w w:val="105"/>
          <w:sz w:val="18"/>
        </w:rPr>
        <w:t>Led internal compliance audits of disclosure controls for 3 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companies, identifying and remediating process gaps before scheduled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SEC examination windows</w:t>
      </w:r>
    </w:p>
    <w:p>
      <w:pPr>
        <w:pStyle w:val="BodyText"/>
        <w:spacing w:before="174"/>
        <w:ind w:left="114"/>
      </w:pP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8"/>
        <w:ind w:left="114"/>
      </w:pPr>
      <w:r>
        <w:rPr>
          <w:w w:val="105"/>
        </w:rPr>
        <w:t>Associate</w:t>
      </w:r>
      <w:r>
        <w:rPr>
          <w:spacing w:val="-6"/>
          <w:w w:val="105"/>
        </w:rPr>
        <w:t> </w:t>
      </w:r>
      <w:r>
        <w:rPr>
          <w:w w:val="105"/>
        </w:rPr>
        <w:t>Attorney,</w:t>
      </w:r>
      <w:r>
        <w:rPr>
          <w:spacing w:val="6"/>
          <w:w w:val="105"/>
        </w:rPr>
        <w:t> </w:t>
      </w:r>
      <w:r>
        <w:rPr>
          <w:w w:val="105"/>
        </w:rPr>
        <w:t>Securities</w:t>
      </w:r>
      <w:r>
        <w:rPr>
          <w:spacing w:val="5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Wall</w:t>
      </w:r>
      <w:r>
        <w:rPr>
          <w:spacing w:val="5"/>
          <w:w w:val="105"/>
        </w:rPr>
        <w:t> </w:t>
      </w:r>
      <w:r>
        <w:rPr>
          <w:w w:val="105"/>
        </w:rPr>
        <w:t>&amp;</w:t>
      </w:r>
      <w:r>
        <w:rPr>
          <w:spacing w:val="5"/>
          <w:w w:val="105"/>
        </w:rPr>
        <w:t> </w:t>
      </w:r>
      <w:r>
        <w:rPr>
          <w:w w:val="105"/>
        </w:rPr>
        <w:t>Crown</w:t>
      </w:r>
      <w:r>
        <w:rPr>
          <w:spacing w:val="5"/>
          <w:w w:val="105"/>
        </w:rPr>
        <w:t> </w:t>
      </w:r>
      <w:r>
        <w:rPr>
          <w:w w:val="105"/>
        </w:rPr>
        <w:t>LLP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5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53" w:after="0"/>
        <w:ind w:left="895" w:right="524" w:hanging="304"/>
        <w:jc w:val="left"/>
        <w:rPr>
          <w:sz w:val="18"/>
        </w:rPr>
      </w:pPr>
      <w:r>
        <w:rPr>
          <w:w w:val="105"/>
          <w:sz w:val="18"/>
        </w:rPr>
        <w:t>Assisted in due diligence and drafting for 10 debt and equity offerings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totaling $1B in aggregate proceeds, coordinating across issuer counsel,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underwriter counsel, and auditors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100" w:after="0"/>
        <w:ind w:left="895" w:right="242" w:hanging="304"/>
        <w:jc w:val="left"/>
        <w:rPr>
          <w:sz w:val="18"/>
        </w:rPr>
      </w:pPr>
      <w:r>
        <w:rPr>
          <w:w w:val="105"/>
          <w:sz w:val="18"/>
        </w:rPr>
        <w:t>Conducted internal compliance audits identifying and remediating material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disclosure issues ahead of 3 scheduled SEC examinations, with no adverse findings in any examination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8" w:lineRule="auto" w:before="99" w:after="0"/>
        <w:ind w:left="895" w:right="301" w:hanging="304"/>
        <w:jc w:val="left"/>
        <w:rPr>
          <w:sz w:val="18"/>
        </w:rPr>
      </w:pPr>
      <w:r>
        <w:rPr>
          <w:w w:val="105"/>
          <w:sz w:val="18"/>
        </w:rPr>
        <w:t>Drafted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prospectus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supplements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road-show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presentations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follow-on equity offerings, working under tight deal timelines and managing comment resolution with underwriter counsel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00" w:after="0"/>
        <w:ind w:left="895" w:right="266" w:hanging="304"/>
        <w:jc w:val="left"/>
        <w:rPr>
          <w:sz w:val="18"/>
        </w:rPr>
      </w:pPr>
      <w:r>
        <w:rPr>
          <w:w w:val="105"/>
          <w:sz w:val="18"/>
        </w:rPr>
        <w:t>Prepared and reviewed Section 16 filings and insider trading pre-clearance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requests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officers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directors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387" w:space="426"/>
            <w:col w:w="7682"/>
          </w:cols>
        </w:sectPr>
      </w:pPr>
    </w:p>
    <w:p>
      <w:pPr>
        <w:pStyle w:val="BodyText"/>
        <w:spacing w:before="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581525"/>
                                </a:moveTo>
                                <a:lnTo>
                                  <a:pt x="0" y="4581525"/>
                                </a:lnTo>
                                <a:lnTo>
                                  <a:pt x="0" y="1005840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10058400"/>
                                </a:lnTo>
                                <a:lnTo>
                                  <a:pt x="2571737" y="45815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24175"/>
                                </a:moveTo>
                                <a:lnTo>
                                  <a:pt x="0" y="2924175"/>
                                </a:lnTo>
                                <a:lnTo>
                                  <a:pt x="0" y="4324350"/>
                                </a:lnTo>
                                <a:lnTo>
                                  <a:pt x="2571737" y="4324350"/>
                                </a:lnTo>
                                <a:lnTo>
                                  <a:pt x="2571737" y="29241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57175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14525">
                                <a:moveTo>
                                  <a:pt x="2571737" y="1657350"/>
                                </a:moveTo>
                                <a:lnTo>
                                  <a:pt x="0" y="1657350"/>
                                </a:lnTo>
                                <a:lnTo>
                                  <a:pt x="0" y="1914525"/>
                                </a:lnTo>
                                <a:lnTo>
                                  <a:pt x="2571737" y="1914525"/>
                                </a:lnTo>
                                <a:lnTo>
                                  <a:pt x="2571737" y="1657350"/>
                                </a:lnTo>
                                <a:close/>
                              </a:path>
                              <a:path w="2571750" h="19145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7175"/>
                                </a:lnTo>
                                <a:lnTo>
                                  <a:pt x="2571737" y="2571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432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57575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78142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4838699"/>
                            <a:ext cx="4762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956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91104" id="docshapegroup3" coordorigin="0,0" coordsize="4050,16860">
                <v:shape style="position:absolute;left:0;top:0;width:4050;height:16860" id="docshape4" coordorigin="0,0" coordsize="4050,16860" path="m4050,7215l0,7215,0,15840,0,16860,4050,16860,4050,15840,4050,7215xm4050,4605l0,4605,0,6810,4050,6810,4050,4605xm4050,0l0,0,0,4110,0,4200,4050,4200,4050,4110,4050,0xe" filled="true" fillcolor="#24560f" stroked="false">
                  <v:path arrowok="t"/>
                  <v:fill type="solid"/>
                </v:shape>
                <v:shape style="position:absolute;left:0;top:4200;width:4050;height:3015" id="docshape5" coordorigin="0,4200" coordsize="4050,3015" path="m4050,6810l0,6810,0,7215,4050,7215,4050,6810xm4050,4200l0,4200,0,4605,4050,4605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825;top:4950;width:255;height:255" type="#_x0000_t75" id="docshape7" stroked="false">
                  <v:imagedata r:id="rId6" o:title=""/>
                </v:shape>
                <v:shape style="position:absolute;left:842;top:5445;width:226;height:261" type="#_x0000_t75" id="docshape8" stroked="false">
                  <v:imagedata r:id="rId7" o:title=""/>
                </v:shape>
                <v:shape style="position:absolute;left:825;top:5955;width:255;height:255" type="#_x0000_t75" id="docshape9" stroked="false">
                  <v:imagedata r:id="rId8" o:title=""/>
                </v:shape>
                <v:shape style="position:absolute;left:824;top:7620;width:75;height:4560" id="docshape10" coordorigin="825,7620" coordsize="75,4560" path="m900,12137l899,12132,895,12123,893,12119,886,12112,882,12110,873,12106,868,12105,857,12105,852,12106,843,12110,839,12112,832,12119,830,12123,826,12132,825,12137,825,12143,825,12148,826,12153,830,12162,832,12166,839,12173,843,12175,852,12179,857,12180,868,12180,873,12179,882,12175,886,12173,893,12166,895,12162,899,12153,900,12148,900,12137xm900,11567l899,11562,895,11553,893,11549,886,11542,882,11540,873,11536,868,11535,857,11535,852,11536,843,11540,839,11542,832,11549,830,11553,826,11562,825,11567,825,11573,825,11578,826,11583,830,11592,832,11596,839,11603,843,11605,852,11609,857,11610,868,11610,873,11609,882,11605,886,11603,893,11596,895,11592,899,11583,900,11578,900,11567xm900,11012l899,11007,895,10998,893,10994,886,10987,882,10985,873,10981,868,10980,857,10980,852,10981,843,10985,839,10987,832,10994,830,10998,826,11007,825,11012,825,11018,825,11023,826,11028,830,11037,832,11041,839,11048,843,11050,852,11054,857,11055,868,11055,873,11054,882,11050,886,11048,893,11041,895,11037,899,11028,900,11023,900,11012xm900,10457l899,10452,895,10443,893,10439,886,10432,882,10430,873,10426,868,10425,857,10425,852,10426,843,10430,839,10432,832,10439,830,10443,826,10452,825,10457,825,10463,825,10468,826,10473,830,10482,832,10486,839,10493,843,10495,852,10499,857,10500,868,10500,873,10499,882,10495,886,10493,893,10486,895,10482,899,10473,900,10468,900,10457xm900,9902l899,9897,895,9888,893,9884,886,9877,882,9875,873,9871,868,9870,857,9870,852,9871,843,9875,839,9877,832,9884,830,9888,826,9897,825,9902,825,9908,825,9913,826,9918,830,9927,832,9931,839,9938,843,9940,852,9944,857,9945,868,9945,873,9944,882,9940,886,9938,893,9931,895,9927,899,9918,900,9913,900,9902xm900,9332l899,9327,895,9318,893,9314,886,9307,882,9305,873,9301,868,9300,857,9300,852,9301,843,9305,839,9307,832,9314,830,9318,826,9327,825,9332,825,9338,825,9343,826,9348,830,9357,832,9361,839,9368,843,9370,852,9374,857,9375,868,9375,873,9374,882,9370,886,9368,893,9361,895,9357,899,9348,900,9343,900,9332x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222l899,8217,895,8208,893,8204,886,8197,882,8195,873,8191,868,8190,857,8190,852,8191,843,8195,839,8197,832,8204,830,8208,826,8217,825,8222,825,8228,825,8233,826,8238,830,8247,832,8251,839,8258,843,8260,852,8264,857,8265,868,8265,873,8264,882,8260,886,8258,893,8251,895,8247,899,8238,900,8233,900,8222xm900,7652l899,7647,895,7638,893,7634,886,7627,882,7625,873,7621,868,7620,857,7620,852,7621,843,7625,839,7627,832,7634,830,7638,826,7647,825,7652,825,7658,825,7663,826,7668,830,7677,832,7681,839,7688,843,7690,852,7694,857,7695,868,7695,873,7694,882,7690,886,7688,893,7681,895,7677,899,7668,900,7663,900,76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3745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5717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57175"/>
                        </a:xfrm>
                        <a:prstGeom prst="rect">
                          <a:avLst/>
                        </a:prstGeom>
                        <a:solidFill>
                          <a:srgbClr val="24560F"/>
                        </a:solidFill>
                      </wps:spPr>
                      <wps:txbx>
                        <w:txbxContent>
                          <w:p>
                            <w:pPr>
                              <w:spacing w:before="6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0.25pt;mso-position-horizontal-relative:char;mso-position-vertical-relative:line" type="#_x0000_t202" id="docshape11" filled="true" fillcolor="#24560f" stroked="false">
                <w10:anchorlock/>
                <v:textbox inset="0,0,0,0">
                  <w:txbxContent>
                    <w:p>
                      <w:pPr>
                        <w:spacing w:before="6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3927"/>
      </w:pPr>
      <w:r>
        <w:rPr>
          <w:w w:val="105"/>
        </w:rPr>
        <w:t>Juris</w:t>
      </w:r>
      <w:r>
        <w:rPr>
          <w:spacing w:val="9"/>
          <w:w w:val="105"/>
        </w:rPr>
        <w:t> </w:t>
      </w:r>
      <w:r>
        <w:rPr>
          <w:w w:val="105"/>
        </w:rPr>
        <w:t>Doctor</w:t>
      </w:r>
      <w:r>
        <w:rPr>
          <w:spacing w:val="9"/>
          <w:w w:val="105"/>
        </w:rPr>
        <w:t> </w:t>
      </w:r>
      <w:r>
        <w:rPr>
          <w:w w:val="105"/>
        </w:rPr>
        <w:t>(J.D.)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93"/>
        <w:ind w:left="3927"/>
      </w:pPr>
      <w:r>
        <w:rPr/>
        <w:t>Prestige</w:t>
      </w:r>
      <w:r>
        <w:rPr>
          <w:spacing w:val="25"/>
        </w:rPr>
        <w:t> </w:t>
      </w:r>
      <w:r>
        <w:rPr/>
        <w:t>Law</w:t>
      </w:r>
      <w:r>
        <w:rPr>
          <w:spacing w:val="26"/>
        </w:rPr>
        <w:t> </w:t>
      </w:r>
      <w:r>
        <w:rPr/>
        <w:t>School</w:t>
      </w:r>
      <w:r>
        <w:rPr>
          <w:spacing w:val="26"/>
        </w:rPr>
        <w:t> </w:t>
      </w:r>
      <w:r>
        <w:rPr/>
        <w:t>|</w:t>
      </w:r>
      <w:r>
        <w:rPr>
          <w:spacing w:val="25"/>
        </w:rPr>
        <w:t> </w:t>
      </w:r>
      <w:r>
        <w:rPr/>
        <w:t>City,</w:t>
      </w:r>
      <w:r>
        <w:rPr>
          <w:spacing w:val="26"/>
        </w:rPr>
        <w:t> </w:t>
      </w:r>
      <w:r>
        <w:rPr>
          <w:spacing w:val="-7"/>
        </w:rPr>
        <w:t>ST</w:t>
      </w:r>
    </w:p>
    <w:p>
      <w:pPr>
        <w:pStyle w:val="BodyText"/>
        <w:spacing w:before="183"/>
        <w:ind w:left="3927"/>
      </w:pPr>
      <w:r>
        <w:rPr>
          <w:w w:val="105"/>
        </w:rPr>
        <w:t>Bachelor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7"/>
          <w:w w:val="105"/>
        </w:rPr>
        <w:t> </w:t>
      </w:r>
      <w:r>
        <w:rPr>
          <w:w w:val="105"/>
        </w:rPr>
        <w:t>Finance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5717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1750" h="10706100">
                              <a:moveTo>
                                <a:pt x="2571737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8096250"/>
                              </a:lnTo>
                              <a:lnTo>
                                <a:pt x="0" y="10706087"/>
                              </a:lnTo>
                              <a:lnTo>
                                <a:pt x="2571737" y="10706087"/>
                              </a:lnTo>
                              <a:lnTo>
                                <a:pt x="2571737" y="8096250"/>
                              </a:lnTo>
                              <a:lnTo>
                                <a:pt x="2571737" y="2609850"/>
                              </a:lnTo>
                              <a:lnTo>
                                <a:pt x="2571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202.5pt;height:843pt;mso-position-horizontal-relative:page;mso-position-vertical-relative:page;z-index:15730688" id="docshape12" coordorigin="0,0" coordsize="4050,16860" path="m4050,0l0,0,0,4110,0,12750,0,16860,4050,16860,4050,12750,4050,4110,4050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134"/>
      </w:pPr>
    </w:p>
    <w:p>
      <w:pPr>
        <w:pStyle w:val="BodyText"/>
        <w:spacing w:before="0"/>
        <w:ind w:right="1481"/>
        <w:jc w:val="center"/>
      </w:pPr>
      <w:r>
        <w:rPr/>
        <w:t>State</w:t>
      </w:r>
      <w:r>
        <w:rPr>
          <w:spacing w:val="25"/>
        </w:rPr>
        <w:t> </w:t>
      </w:r>
      <w:r>
        <w:rPr/>
        <w:t>University</w:t>
      </w:r>
      <w:r>
        <w:rPr>
          <w:spacing w:val="25"/>
        </w:rPr>
        <w:t> </w:t>
      </w:r>
      <w:r>
        <w:rPr/>
        <w:t>|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>
          <w:spacing w:val="-5"/>
        </w:rPr>
        <w:t>ST</w:t>
      </w:r>
    </w:p>
    <w:sectPr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0"/>
      <w:ind w:left="895" w:right="242" w:hanging="304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2026-03-19T15:52:30Z</dcterms:created>
  <dcterms:modified xsi:type="dcterms:W3CDTF">2026-03-19T15:52:30Z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2026-03-19T00:00:00Z</vt:filetime>
  </property>
  <property fmtid="{D5CDD505-2E9C-101B-9397-08002B2CF9AE}" pid="5" name="Producer">
    <vt:lpwstr>pdf-merger-js</vt:lpwstr>
  </property>
</Properties>
</file>