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50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1"/>
      </w:pPr>
      <w:r>
        <w:rPr>
          <w:color w:val="FFFFFF"/>
        </w:rPr>
        <w:t>University</w:t>
      </w:r>
      <w:r>
        <w:rPr>
          <w:color w:val="FFFFFF"/>
          <w:spacing w:val="29"/>
        </w:rPr>
        <w:t> </w:t>
      </w:r>
      <w:r>
        <w:rPr>
          <w:color w:val="FFFFFF"/>
        </w:rPr>
        <w:t>Budget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Analyst</w:t>
      </w:r>
    </w:p>
    <w:p>
      <w:pPr>
        <w:pStyle w:val="BodyText"/>
        <w:spacing w:line="271" w:lineRule="auto" w:before="151"/>
        <w:ind w:left="4393" w:right="254"/>
        <w:jc w:val="center"/>
      </w:pPr>
      <w:r>
        <w:rPr>
          <w:color w:val="FFFFFF"/>
          <w:w w:val="105"/>
        </w:rPr>
        <w:t>Higher education finance professional with 9+ years managing academic 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administrative budgets aligned with institutional goals, grant compliance, and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state regulations. Manages $62 million in academic and research budgets across 10 departments at the University of Michigan, reduced departmental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overspending by 15% through data-driven resource planning, and improved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grant compliance tracking at Michigan State University. Skilled in academic budget planning, departmental coordination, faculty allocation tracking, and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tuition revenue analysis.</w:t>
      </w:r>
    </w:p>
    <w:p>
      <w:pPr>
        <w:pStyle w:val="BodyText"/>
        <w:spacing w:before="19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2"/>
        <w:spacing w:before="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657487"/>
                            <a:ext cx="5079365" cy="804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047355">
                                <a:moveTo>
                                  <a:pt x="5078984" y="265112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1125"/>
                                </a:lnTo>
                                <a:lnTo>
                                  <a:pt x="0" y="2740025"/>
                                </a:lnTo>
                                <a:lnTo>
                                  <a:pt x="0" y="8047088"/>
                                </a:lnTo>
                                <a:lnTo>
                                  <a:pt x="5078984" y="8047088"/>
                                </a:lnTo>
                                <a:lnTo>
                                  <a:pt x="5078984" y="2651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57475">
                                <a:moveTo>
                                  <a:pt x="7568183" y="2657474"/>
                                </a:moveTo>
                                <a:lnTo>
                                  <a:pt x="0" y="2657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409574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7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2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7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1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8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6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8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8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7"/>
                                </a:lnTo>
                                <a:lnTo>
                                  <a:pt x="812040" y="1894699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9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6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4"/>
                                </a:lnTo>
                                <a:lnTo>
                                  <a:pt x="160387" y="1482044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8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1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476249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5528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8806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41909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629024"/>
                            <a:ext cx="2733675" cy="461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4610100">
                                <a:moveTo>
                                  <a:pt x="47625" y="4030497"/>
                                </a:moveTo>
                                <a:lnTo>
                                  <a:pt x="27165" y="4010025"/>
                                </a:lnTo>
                                <a:lnTo>
                                  <a:pt x="20472" y="4010025"/>
                                </a:lnTo>
                                <a:lnTo>
                                  <a:pt x="0" y="4030497"/>
                                </a:lnTo>
                                <a:lnTo>
                                  <a:pt x="0" y="4034066"/>
                                </a:lnTo>
                                <a:lnTo>
                                  <a:pt x="0" y="4037190"/>
                                </a:lnTo>
                                <a:lnTo>
                                  <a:pt x="20472" y="4057650"/>
                                </a:lnTo>
                                <a:lnTo>
                                  <a:pt x="27165" y="4057650"/>
                                </a:lnTo>
                                <a:lnTo>
                                  <a:pt x="47625" y="4037190"/>
                                </a:lnTo>
                                <a:lnTo>
                                  <a:pt x="47625" y="4030497"/>
                                </a:lnTo>
                                <a:close/>
                              </a:path>
                              <a:path w="2733675" h="4610100">
                                <a:moveTo>
                                  <a:pt x="47625" y="3668547"/>
                                </a:moveTo>
                                <a:lnTo>
                                  <a:pt x="27165" y="3648075"/>
                                </a:lnTo>
                                <a:lnTo>
                                  <a:pt x="20472" y="3648075"/>
                                </a:lnTo>
                                <a:lnTo>
                                  <a:pt x="0" y="3668547"/>
                                </a:lnTo>
                                <a:lnTo>
                                  <a:pt x="0" y="3672116"/>
                                </a:lnTo>
                                <a:lnTo>
                                  <a:pt x="0" y="3675240"/>
                                </a:lnTo>
                                <a:lnTo>
                                  <a:pt x="20472" y="3695700"/>
                                </a:lnTo>
                                <a:lnTo>
                                  <a:pt x="27165" y="3695700"/>
                                </a:lnTo>
                                <a:lnTo>
                                  <a:pt x="47625" y="3675240"/>
                                </a:lnTo>
                                <a:lnTo>
                                  <a:pt x="47625" y="3668547"/>
                                </a:lnTo>
                                <a:close/>
                              </a:path>
                              <a:path w="2733675" h="4610100">
                                <a:moveTo>
                                  <a:pt x="47625" y="3316122"/>
                                </a:moveTo>
                                <a:lnTo>
                                  <a:pt x="27165" y="3295650"/>
                                </a:lnTo>
                                <a:lnTo>
                                  <a:pt x="20472" y="3295650"/>
                                </a:lnTo>
                                <a:lnTo>
                                  <a:pt x="0" y="3316122"/>
                                </a:lnTo>
                                <a:lnTo>
                                  <a:pt x="0" y="3319691"/>
                                </a:lnTo>
                                <a:lnTo>
                                  <a:pt x="0" y="3322815"/>
                                </a:lnTo>
                                <a:lnTo>
                                  <a:pt x="20472" y="3343275"/>
                                </a:lnTo>
                                <a:lnTo>
                                  <a:pt x="27165" y="3343275"/>
                                </a:lnTo>
                                <a:lnTo>
                                  <a:pt x="47625" y="3322815"/>
                                </a:lnTo>
                                <a:lnTo>
                                  <a:pt x="47625" y="3316122"/>
                                </a:lnTo>
                                <a:close/>
                              </a:path>
                              <a:path w="2733675" h="4610100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733675" h="46101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2733675" h="461010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2733675" h="4610100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733675" h="461010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2733675" h="46101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4610100">
                                <a:moveTo>
                                  <a:pt x="2733675" y="4582947"/>
                                </a:moveTo>
                                <a:lnTo>
                                  <a:pt x="2713215" y="4562475"/>
                                </a:lnTo>
                                <a:lnTo>
                                  <a:pt x="2706522" y="4562475"/>
                                </a:lnTo>
                                <a:lnTo>
                                  <a:pt x="2686050" y="4582947"/>
                                </a:lnTo>
                                <a:lnTo>
                                  <a:pt x="2686050" y="4586516"/>
                                </a:lnTo>
                                <a:lnTo>
                                  <a:pt x="2686050" y="4589640"/>
                                </a:lnTo>
                                <a:lnTo>
                                  <a:pt x="2706522" y="4610100"/>
                                </a:lnTo>
                                <a:lnTo>
                                  <a:pt x="2713215" y="4610100"/>
                                </a:lnTo>
                                <a:lnTo>
                                  <a:pt x="2733675" y="4589640"/>
                                </a:lnTo>
                                <a:lnTo>
                                  <a:pt x="2733675" y="4582947"/>
                                </a:lnTo>
                                <a:close/>
                              </a:path>
                              <a:path w="2733675" h="4610100">
                                <a:moveTo>
                                  <a:pt x="2733675" y="4083710"/>
                                </a:moveTo>
                                <a:lnTo>
                                  <a:pt x="2717152" y="4067175"/>
                                </a:lnTo>
                                <a:lnTo>
                                  <a:pt x="2702585" y="4067175"/>
                                </a:lnTo>
                                <a:lnTo>
                                  <a:pt x="2686050" y="4083710"/>
                                </a:lnTo>
                                <a:lnTo>
                                  <a:pt x="2686050" y="4086225"/>
                                </a:lnTo>
                                <a:lnTo>
                                  <a:pt x="2686050" y="4088752"/>
                                </a:lnTo>
                                <a:lnTo>
                                  <a:pt x="2702585" y="4105275"/>
                                </a:lnTo>
                                <a:lnTo>
                                  <a:pt x="2717152" y="4105275"/>
                                </a:lnTo>
                                <a:lnTo>
                                  <a:pt x="2733675" y="4088752"/>
                                </a:lnTo>
                                <a:lnTo>
                                  <a:pt x="2733675" y="4083710"/>
                                </a:lnTo>
                                <a:close/>
                              </a:path>
                              <a:path w="2733675" h="4610100">
                                <a:moveTo>
                                  <a:pt x="2733675" y="3582822"/>
                                </a:moveTo>
                                <a:lnTo>
                                  <a:pt x="2713215" y="3562350"/>
                                </a:lnTo>
                                <a:lnTo>
                                  <a:pt x="2706522" y="3562350"/>
                                </a:lnTo>
                                <a:lnTo>
                                  <a:pt x="2686050" y="3582822"/>
                                </a:lnTo>
                                <a:lnTo>
                                  <a:pt x="2686050" y="3586391"/>
                                </a:lnTo>
                                <a:lnTo>
                                  <a:pt x="2686050" y="3589515"/>
                                </a:lnTo>
                                <a:lnTo>
                                  <a:pt x="2706522" y="3609975"/>
                                </a:lnTo>
                                <a:lnTo>
                                  <a:pt x="2713215" y="3609975"/>
                                </a:lnTo>
                                <a:lnTo>
                                  <a:pt x="2733675" y="3589515"/>
                                </a:lnTo>
                                <a:lnTo>
                                  <a:pt x="2733675" y="3582822"/>
                                </a:lnTo>
                                <a:close/>
                              </a:path>
                              <a:path w="2733675" h="4610100">
                                <a:moveTo>
                                  <a:pt x="2733675" y="2544597"/>
                                </a:moveTo>
                                <a:lnTo>
                                  <a:pt x="2713215" y="2524125"/>
                                </a:lnTo>
                                <a:lnTo>
                                  <a:pt x="2706522" y="2524125"/>
                                </a:lnTo>
                                <a:lnTo>
                                  <a:pt x="2686050" y="2544597"/>
                                </a:lnTo>
                                <a:lnTo>
                                  <a:pt x="2686050" y="2548166"/>
                                </a:lnTo>
                                <a:lnTo>
                                  <a:pt x="2686050" y="2551290"/>
                                </a:lnTo>
                                <a:lnTo>
                                  <a:pt x="2706522" y="2571750"/>
                                </a:lnTo>
                                <a:lnTo>
                                  <a:pt x="2713215" y="2571750"/>
                                </a:lnTo>
                                <a:lnTo>
                                  <a:pt x="2733675" y="2551290"/>
                                </a:lnTo>
                                <a:lnTo>
                                  <a:pt x="2733675" y="2544597"/>
                                </a:lnTo>
                                <a:close/>
                              </a:path>
                              <a:path w="2733675" h="4610100">
                                <a:moveTo>
                                  <a:pt x="2733675" y="2039772"/>
                                </a:moveTo>
                                <a:lnTo>
                                  <a:pt x="2713215" y="2019300"/>
                                </a:lnTo>
                                <a:lnTo>
                                  <a:pt x="2706522" y="2019300"/>
                                </a:lnTo>
                                <a:lnTo>
                                  <a:pt x="2686050" y="2039772"/>
                                </a:lnTo>
                                <a:lnTo>
                                  <a:pt x="2686050" y="2043341"/>
                                </a:lnTo>
                                <a:lnTo>
                                  <a:pt x="2686050" y="2046465"/>
                                </a:lnTo>
                                <a:lnTo>
                                  <a:pt x="2706522" y="2066925"/>
                                </a:lnTo>
                                <a:lnTo>
                                  <a:pt x="2713215" y="2066925"/>
                                </a:lnTo>
                                <a:lnTo>
                                  <a:pt x="2733675" y="2046465"/>
                                </a:lnTo>
                                <a:lnTo>
                                  <a:pt x="2733675" y="2039772"/>
                                </a:lnTo>
                                <a:close/>
                              </a:path>
                              <a:path w="2733675" h="461010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4610100">
                                <a:moveTo>
                                  <a:pt x="2733675" y="1030122"/>
                                </a:moveTo>
                                <a:lnTo>
                                  <a:pt x="2713215" y="1009650"/>
                                </a:lnTo>
                                <a:lnTo>
                                  <a:pt x="2706522" y="1009650"/>
                                </a:lnTo>
                                <a:lnTo>
                                  <a:pt x="2686050" y="1030122"/>
                                </a:lnTo>
                                <a:lnTo>
                                  <a:pt x="2686050" y="1033691"/>
                                </a:lnTo>
                                <a:lnTo>
                                  <a:pt x="2686050" y="1036815"/>
                                </a:lnTo>
                                <a:lnTo>
                                  <a:pt x="2706522" y="1057275"/>
                                </a:lnTo>
                                <a:lnTo>
                                  <a:pt x="2713215" y="1057275"/>
                                </a:lnTo>
                                <a:lnTo>
                                  <a:pt x="2733675" y="1036815"/>
                                </a:lnTo>
                                <a:lnTo>
                                  <a:pt x="2733675" y="1030122"/>
                                </a:lnTo>
                                <a:close/>
                              </a:path>
                              <a:path w="2733675" h="4610100">
                                <a:moveTo>
                                  <a:pt x="2733675" y="525297"/>
                                </a:moveTo>
                                <a:lnTo>
                                  <a:pt x="2713215" y="504825"/>
                                </a:lnTo>
                                <a:lnTo>
                                  <a:pt x="2706522" y="504825"/>
                                </a:lnTo>
                                <a:lnTo>
                                  <a:pt x="2686050" y="525297"/>
                                </a:lnTo>
                                <a:lnTo>
                                  <a:pt x="2686050" y="528866"/>
                                </a:lnTo>
                                <a:lnTo>
                                  <a:pt x="2686050" y="531990"/>
                                </a:lnTo>
                                <a:lnTo>
                                  <a:pt x="2706522" y="552450"/>
                                </a:lnTo>
                                <a:lnTo>
                                  <a:pt x="2713215" y="552450"/>
                                </a:lnTo>
                                <a:lnTo>
                                  <a:pt x="2733675" y="531990"/>
                                </a:lnTo>
                                <a:lnTo>
                                  <a:pt x="2733675" y="525297"/>
                                </a:lnTo>
                                <a:close/>
                              </a:path>
                              <a:path w="2733675" h="46101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4185;width:7999;height:12673" id="docshape2" coordorigin="3920,4185" coordsize="7999,12673" path="m11918,8360l11918,4185,3930,4185,3920,418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4185" id="docshape3" filled="true" fillcolor="#bd690e" stroked="false">
                  <v:fill type="solid"/>
                </v:rect>
                <v:shape style="position:absolute;left:435;top:645;width:3000;height:3000" id="docshape4" coordorigin="435,645" coordsize="3000,3000" path="m435,2146l435,2144,435,2125,438,2052,444,1979,454,1906,467,1833,484,1762,505,1691,529,1622,556,1553,587,1486,621,1421,658,1358,698,1296,741,1236,787,1179,836,1124,887,1071,941,1021,997,974,1056,929,1116,887,1179,849,1243,813,1310,781,1377,752,1446,727,1516,704,1587,686,1659,670,1732,659,1805,651,1879,646,1934,645,1936,645,2010,647,2083,652,2156,661,2229,674,2300,690,2371,710,2441,733,2510,759,2577,789,2643,822,2707,858,2769,898,2829,940,2887,985,2943,1033,2996,1084,3047,1137,3095,1193,3140,1251,3182,1311,3222,1373,3258,1437,3291,1503,3321,1570,3347,1639,3370,1709,3390,1780,3406,1851,3419,1924,3428,1997,3433,2070,3435,2144,3435,2146,3433,2220,3428,2293,3419,2366,3406,2439,3390,2510,3370,2581,3347,2651,3321,2720,3291,2787,3258,2853,3222,2917,3182,2979,3140,3039,3095,3097,3047,3153,2996,3206,2943,3257,2887,3305,2829,3350,2769,3392,2707,3432,2643,3468,2577,3501,2510,3531,2441,3557,2371,3580,2300,3600,2229,3616,2156,3629,2083,3638,2010,3643,1936,3645,1934,3645,1860,3643,1787,3638,1714,3629,1641,3616,1570,3600,1499,3580,1429,3557,1360,3531,1293,3501,1227,3468,1163,3432,1101,3392,1041,3350,983,3305,927,3257,874,3206,823,3153,775,3097,730,3039,688,2979,648,2917,612,2853,579,2787,549,2720,523,2651,500,2581,480,2510,464,2439,451,2366,442,2293,437,2220,435,2146xe" filled="false" stroked="true" strokeweight="4.5pt" strokecolor="#ffffff">
                  <v:path arrowok="t"/>
                  <v:stroke dashstyle="solid"/>
                </v:shape>
                <v:shape style="position:absolute;left:525;top:750;width:2820;height:2820" type="#_x0000_t75" id="docshape5" stroked="false">
                  <v:imagedata r:id="rId5" o:title=""/>
                </v:shape>
                <v:shape style="position:absolute;left:510;top:5085;width:317;height:317" type="#_x0000_t75" id="docshape6" stroked="false">
                  <v:imagedata r:id="rId6" o:title=""/>
                </v:shape>
                <v:shape style="position:absolute;left:530;top:5595;width:275;height:317" type="#_x0000_t75" id="docshape7" stroked="false">
                  <v:imagedata r:id="rId7" o:title=""/>
                </v:shape>
                <v:shape style="position:absolute;left:510;top:6111;width:317;height:274" type="#_x0000_t75" id="docshape8" stroked="false">
                  <v:imagedata r:id="rId8" o:title=""/>
                </v:shape>
                <v:shape style="position:absolute;left:511;top:6600;width:315;height:317" type="#_x0000_t75" id="docshape9" stroked="false">
                  <v:imagedata r:id="rId9" o:title=""/>
                </v:shape>
                <v:shape style="position:absolute;left:509;top:5715;width:4305;height:7260" id="docshape10" coordorigin="510,5715" coordsize="4305,7260" path="m585,12062l584,12057,580,12048,578,12044,571,12037,567,12035,558,12031,553,12030,542,12030,537,12031,528,12035,524,12037,517,12044,515,12048,511,12057,510,12062,510,12068,510,12073,511,12078,515,12087,517,12091,524,12098,528,12100,537,12104,542,12105,553,12105,558,12104,567,12100,571,12098,578,12091,580,12087,584,12078,585,12073,585,12062xm585,11492l584,11487,580,11478,578,11474,571,11467,567,11465,558,11461,553,11460,542,11460,537,11461,528,11465,524,11467,517,11474,515,11478,511,11487,510,11492,510,11498,510,11503,511,11508,515,11517,517,11521,524,11528,528,11530,537,11534,542,11535,553,11535,558,11534,567,11530,571,11528,578,11521,580,11517,584,11508,585,11503,585,11492xm585,10937l584,10932,580,10923,578,10919,571,10912,567,10910,558,10906,553,10905,542,10905,537,10906,528,10910,524,10912,517,10919,515,10923,511,10932,510,10937,510,10943,510,10948,511,10953,515,10962,517,10966,524,10973,528,10975,537,10979,542,10980,553,10980,558,10979,567,10975,571,10973,578,10966,580,10962,584,10953,585,10948,585,10937xm585,10607l584,10602,580,10593,578,10589,571,10582,567,10580,558,10576,553,10575,542,10575,537,10576,528,10580,524,10582,517,10589,515,10593,511,10602,510,10607,510,10613,510,10618,511,10623,515,10632,517,10636,524,10643,528,10645,537,10649,542,10650,553,10650,558,10649,567,10645,571,10643,578,10636,580,10632,584,10623,585,10618,585,10607xm585,10052l584,10047,580,10038,578,10034,571,10027,567,10025,558,10021,553,10020,542,10020,537,10021,528,10025,524,10027,517,10034,515,10038,511,10047,510,10052,510,10058,510,10063,511,10068,515,10077,517,10081,524,10088,528,10090,537,10094,542,10095,553,10095,558,10094,567,10090,571,10088,578,10081,580,10077,584,10068,585,10063,585,10052xm585,9497l584,9492,580,9483,578,9479,571,9472,567,9470,558,9466,553,9465,542,9465,537,9466,528,9470,524,9472,517,9479,515,9483,511,9492,510,9497,510,9503,510,9508,511,9513,515,9522,517,9526,524,9533,528,9535,537,9539,542,9540,553,9540,558,9539,567,9535,571,9533,578,9526,580,9522,584,9513,585,9508,585,9497xm585,8927l584,8922,580,8913,578,8909,571,8902,567,8900,558,8896,553,8895,542,8895,537,8896,528,8900,524,8902,517,8909,515,8913,511,8922,510,8927,510,8933,510,8938,511,8943,515,8952,517,8956,524,8963,528,8965,537,8969,542,8970,553,8970,558,8969,567,8965,571,8963,578,8956,580,8952,584,8943,585,8938,585,8927xm585,8372l584,8367,580,8358,578,8354,571,8347,567,8345,558,8341,553,8340,542,8340,537,8341,528,8345,524,8347,517,8354,515,8358,511,8367,510,8372,510,8378,510,8383,511,8388,515,8397,517,8401,524,8408,528,8410,537,8414,542,8415,553,8415,558,8414,567,8410,571,8408,578,8401,580,8397,584,8388,585,8383,585,8372xm585,7817l584,7812,580,7803,578,7799,571,7792,567,7790,558,7786,553,7785,542,7785,537,7786,528,7790,524,7792,517,7799,515,7803,511,7812,510,7817,510,7823,510,7828,511,7833,515,7842,517,7846,524,7853,528,7855,537,7859,542,7860,553,7860,558,7859,567,7855,571,7853,578,7846,580,7842,584,7833,585,7828,585,7817xm4815,12932l4814,12927,4810,12918,4808,12914,4801,12907,4797,12905,4788,12901,4783,12900,4772,12900,4767,12901,4758,12905,4754,12907,4747,12914,4745,12918,4741,12927,4740,12932,4740,12938,4740,12943,4741,12948,4745,12957,4747,12961,4754,12968,4758,12970,4767,12974,4772,12975,4783,12975,4788,12974,4797,12970,4801,12968,4808,12961,4810,12957,4814,12948,4815,12943,4815,12932xm4815,12146l4814,12142,4811,12135,4809,12132,4803,12126,4800,12124,4793,12121,4789,12120,4766,12120,4762,12121,4755,12124,4752,12126,4746,12132,4744,12135,4741,12142,4740,12146,4740,12150,4740,12154,4741,12158,4744,12165,4746,12168,4752,12174,4755,12176,4762,12179,4766,12180,4789,12180,4793,12179,4800,12176,4803,12174,4809,12168,4811,12165,4814,12158,4815,12154,4815,12146xm4815,11357l4814,11352,4810,11343,4808,11339,4801,11332,4797,11330,4788,11326,4783,11325,4772,11325,4767,11326,4758,11330,4754,11332,4747,11339,4745,11343,4741,11352,4740,11357,4740,11363,4740,11368,4741,11373,4745,11382,4747,11386,4754,11393,4758,11395,4767,11399,4772,11400,4783,11400,4788,11399,4797,11395,4801,11393,4808,11386,4810,11382,4814,11373,4815,11368,4815,11357xm4815,9722l4814,9717,4810,9708,4808,9704,4801,9697,4797,9695,4788,9691,4783,9690,4772,9690,4767,9691,4758,9695,4754,9697,4747,9704,4745,9708,4741,9717,4740,9722,4740,9728,4740,9733,4741,9738,4745,9747,4747,9751,4754,9758,4758,9760,4767,9764,4772,9765,4783,9765,4788,9764,4797,9760,4801,9758,4808,9751,4810,9747,4814,9738,4815,9733,4815,9722xm4815,8927l4814,8922,4810,8913,4808,8909,4801,8902,4797,8900,4788,8896,4783,8895,4772,8895,4767,8896,4758,8900,4754,8902,4747,8909,4745,8913,4741,8922,4740,8927,4740,8933,4740,8938,4741,8943,4745,8952,4747,8956,4754,8963,4758,8965,4767,8969,4772,8970,4783,8970,4788,8969,4797,8965,4801,8963,4808,8956,4810,8952,4814,8943,4815,8938,4815,8927xm4815,8132l4814,8127,4810,8118,4808,8114,4801,8107,4797,8105,4788,8101,4783,8100,4772,8100,4767,8101,4758,8105,4754,8107,4747,8114,4745,8118,4741,8127,4740,8132,4740,8138,4740,8143,4741,8148,4745,8157,4747,8161,4754,8168,4758,8170,4767,8174,4772,8175,4783,8175,4788,8174,4797,8170,4801,8168,4808,8161,4810,8157,4814,8148,4815,8143,4815,8132xm4815,7337l4814,7332,4810,7323,4808,7319,4801,7312,4797,7310,4788,7306,4783,7305,4772,7305,4767,7306,4758,7310,4754,7312,4747,7319,4745,7323,4741,7332,4740,7337,4740,7343,4740,7348,4741,7353,4745,7362,4747,7366,4754,7373,4758,7375,4767,7379,4772,7380,4783,7380,4788,7379,4797,7375,4801,7373,4808,7366,4810,7362,4814,7353,4815,7348,4815,7337xm4815,6542l4814,6537,4810,6528,4808,6524,4801,6517,4797,6515,4788,6511,4783,6510,4772,6510,4767,6511,4758,6515,4754,6517,4747,6524,4745,6528,4741,6537,4740,6542,4740,6548,4740,6553,4741,6558,4745,6567,4747,6571,4754,6578,4758,6580,4767,6584,4772,6585,4783,6585,4788,6584,4797,6580,4801,6578,4808,6571,4810,6567,4814,6558,4815,6553,4815,654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265"/>
        <w:ind w:left="826"/>
      </w:pPr>
      <w:r>
        <w:rPr/>
        <w:t>(555)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81"/>
        <w:ind w:left="0"/>
      </w:pPr>
    </w:p>
    <w:p>
      <w:pPr>
        <w:pStyle w:val="BodyText"/>
        <w:spacing w:line="573" w:lineRule="auto" w:before="0"/>
        <w:ind w:left="826" w:right="286"/>
      </w:pP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26"/>
      </w:pPr>
      <w:r>
        <w:rPr>
          <w:spacing w:val="-2"/>
          <w:w w:val="105"/>
        </w:rPr>
        <w:t>Ann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Arbor,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117"/>
        <w:ind w:left="0"/>
      </w:pPr>
    </w:p>
    <w:p>
      <w:pPr>
        <w:pStyle w:val="Heading2"/>
      </w:pPr>
      <w:r>
        <w:rPr>
          <w:color w:val="0C0C0C"/>
          <w:w w:val="90"/>
          <w:sz w:val="29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-1"/>
          <w:w w:val="9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61" w:lineRule="auto" w:before="220"/>
      </w:pPr>
      <w:r>
        <w:rPr>
          <w:w w:val="105"/>
        </w:rPr>
        <w:t>Academic budget planning and </w:t>
      </w:r>
      <w:r>
        <w:rPr>
          <w:spacing w:val="-2"/>
          <w:w w:val="105"/>
        </w:rPr>
        <w:t>allocation</w:t>
      </w:r>
    </w:p>
    <w:p>
      <w:pPr>
        <w:pStyle w:val="BodyText"/>
        <w:spacing w:line="278" w:lineRule="auto" w:before="104"/>
        <w:ind w:right="128"/>
      </w:pPr>
      <w:r>
        <w:rPr>
          <w:w w:val="105"/>
        </w:rPr>
        <w:t>Departmental</w:t>
      </w:r>
      <w:r>
        <w:rPr>
          <w:spacing w:val="-14"/>
          <w:w w:val="105"/>
        </w:rPr>
        <w:t> </w:t>
      </w:r>
      <w:r>
        <w:rPr>
          <w:w w:val="105"/>
        </w:rPr>
        <w:t>coordination</w:t>
      </w:r>
      <w:r>
        <w:rPr>
          <w:spacing w:val="-13"/>
          <w:w w:val="105"/>
        </w:rPr>
        <w:t> </w:t>
      </w:r>
      <w:r>
        <w:rPr>
          <w:w w:val="105"/>
        </w:rPr>
        <w:t>with faculty and administration</w:t>
      </w:r>
    </w:p>
    <w:p>
      <w:pPr>
        <w:pStyle w:val="BodyText"/>
        <w:spacing w:line="278" w:lineRule="auto"/>
      </w:pPr>
      <w:r>
        <w:rPr>
          <w:w w:val="105"/>
        </w:rPr>
        <w:t>Financial</w:t>
      </w:r>
      <w:r>
        <w:rPr>
          <w:spacing w:val="-7"/>
          <w:w w:val="105"/>
        </w:rPr>
        <w:t> </w:t>
      </w:r>
      <w:r>
        <w:rPr>
          <w:w w:val="105"/>
        </w:rPr>
        <w:t>policy</w:t>
      </w:r>
      <w:r>
        <w:rPr>
          <w:spacing w:val="-7"/>
          <w:w w:val="105"/>
        </w:rPr>
        <w:t> </w:t>
      </w:r>
      <w:r>
        <w:rPr>
          <w:w w:val="105"/>
        </w:rPr>
        <w:t>compliance</w:t>
      </w:r>
      <w:r>
        <w:rPr>
          <w:spacing w:val="-7"/>
          <w:w w:val="105"/>
        </w:rPr>
        <w:t> </w:t>
      </w:r>
      <w:r>
        <w:rPr>
          <w:w w:val="105"/>
        </w:rPr>
        <w:t>and regulatory adherence</w:t>
      </w:r>
    </w:p>
    <w:p>
      <w:pPr>
        <w:pStyle w:val="BodyText"/>
        <w:spacing w:line="261" w:lineRule="auto" w:before="90"/>
      </w:pPr>
      <w:r>
        <w:rPr>
          <w:w w:val="105"/>
        </w:rPr>
        <w:t>Higher</w:t>
      </w:r>
      <w:r>
        <w:rPr>
          <w:spacing w:val="-6"/>
          <w:w w:val="105"/>
        </w:rPr>
        <w:t> </w:t>
      </w:r>
      <w:r>
        <w:rPr>
          <w:w w:val="105"/>
        </w:rPr>
        <w:t>education</w:t>
      </w:r>
      <w:r>
        <w:rPr>
          <w:spacing w:val="-6"/>
          <w:w w:val="105"/>
        </w:rPr>
        <w:t> </w:t>
      </w:r>
      <w:r>
        <w:rPr>
          <w:w w:val="105"/>
        </w:rPr>
        <w:t>funding</w:t>
      </w:r>
      <w:r>
        <w:rPr>
          <w:spacing w:val="-6"/>
          <w:w w:val="105"/>
        </w:rPr>
        <w:t> </w:t>
      </w:r>
      <w:r>
        <w:rPr>
          <w:w w:val="105"/>
        </w:rPr>
        <w:t>and grant oversight</w:t>
      </w:r>
    </w:p>
    <w:p>
      <w:pPr>
        <w:pStyle w:val="BodyText"/>
        <w:spacing w:line="278" w:lineRule="auto" w:before="104"/>
      </w:pPr>
      <w:r>
        <w:rPr>
          <w:spacing w:val="-2"/>
          <w:w w:val="105"/>
        </w:rPr>
        <w:t>Tuition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revenue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tracking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 projection</w:t>
      </w:r>
    </w:p>
    <w:p>
      <w:pPr>
        <w:pStyle w:val="BodyText"/>
        <w:spacing w:before="74"/>
      </w:pPr>
      <w:r>
        <w:rPr>
          <w:spacing w:val="-2"/>
          <w:w w:val="105"/>
        </w:rPr>
        <w:t>Data-driven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resource</w:t>
      </w:r>
      <w:r>
        <w:rPr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spacing w:line="278" w:lineRule="auto" w:before="123"/>
      </w:pPr>
      <w:r>
        <w:rPr>
          <w:w w:val="105"/>
        </w:rPr>
        <w:t>Annual</w:t>
      </w:r>
      <w:r>
        <w:rPr>
          <w:spacing w:val="-14"/>
          <w:w w:val="105"/>
        </w:rPr>
        <w:t> </w:t>
      </w:r>
      <w:r>
        <w:rPr>
          <w:w w:val="105"/>
        </w:rPr>
        <w:t>spending</w:t>
      </w:r>
      <w:r>
        <w:rPr>
          <w:spacing w:val="-13"/>
          <w:w w:val="105"/>
        </w:rPr>
        <w:t> </w:t>
      </w:r>
      <w:r>
        <w:rPr>
          <w:w w:val="105"/>
        </w:rPr>
        <w:t>plan </w:t>
      </w:r>
      <w:r>
        <w:rPr>
          <w:spacing w:val="-2"/>
          <w:w w:val="105"/>
        </w:rPr>
        <w:t>development</w:t>
      </w:r>
    </w:p>
    <w:p>
      <w:pPr>
        <w:pStyle w:val="BodyText"/>
        <w:spacing w:line="278" w:lineRule="auto"/>
      </w:pPr>
      <w:r>
        <w:rPr>
          <w:w w:val="105"/>
        </w:rPr>
        <w:t>Grant</w:t>
      </w:r>
      <w:r>
        <w:rPr>
          <w:spacing w:val="-14"/>
          <w:w w:val="105"/>
        </w:rPr>
        <w:t> </w:t>
      </w:r>
      <w:r>
        <w:rPr>
          <w:w w:val="105"/>
        </w:rPr>
        <w:t>compliance</w:t>
      </w:r>
      <w:r>
        <w:rPr>
          <w:spacing w:val="-13"/>
          <w:w w:val="105"/>
        </w:rPr>
        <w:t> </w:t>
      </w:r>
      <w:r>
        <w:rPr>
          <w:w w:val="105"/>
        </w:rPr>
        <w:t>and expenditure review</w:t>
      </w:r>
    </w:p>
    <w:p>
      <w:pPr>
        <w:pStyle w:val="BodyText"/>
        <w:spacing w:line="261" w:lineRule="auto" w:before="90"/>
      </w:pPr>
      <w:r>
        <w:rPr>
          <w:w w:val="105"/>
        </w:rPr>
        <w:t>Monthly</w:t>
      </w:r>
      <w:r>
        <w:rPr>
          <w:spacing w:val="-14"/>
          <w:w w:val="105"/>
        </w:rPr>
        <w:t> </w:t>
      </w:r>
      <w:r>
        <w:rPr>
          <w:w w:val="105"/>
        </w:rPr>
        <w:t>budget</w:t>
      </w:r>
      <w:r>
        <w:rPr>
          <w:spacing w:val="-13"/>
          <w:w w:val="105"/>
        </w:rPr>
        <w:t> </w:t>
      </w:r>
      <w:r>
        <w:rPr>
          <w:w w:val="105"/>
        </w:rPr>
        <w:t>variance </w:t>
      </w:r>
      <w:r>
        <w:rPr>
          <w:spacing w:val="-2"/>
          <w:w w:val="105"/>
        </w:rPr>
        <w:t>reporting</w:t>
      </w:r>
    </w:p>
    <w:p>
      <w:pPr>
        <w:pStyle w:val="BodyText"/>
        <w:spacing w:before="53"/>
        <w:ind w:left="0"/>
      </w:pPr>
    </w:p>
    <w:p>
      <w:pPr>
        <w:pStyle w:val="Heading2"/>
      </w:pPr>
      <w:r>
        <w:rPr>
          <w:color w:val="0C0C0C"/>
          <w:spacing w:val="-2"/>
          <w:sz w:val="29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66" w:lineRule="auto" w:before="221"/>
        <w:ind w:left="362" w:right="286"/>
      </w:pPr>
      <w:r>
        <w:rPr>
          <w:color w:val="0C0C0C"/>
          <w:w w:val="105"/>
        </w:rPr>
        <w:t>Bachelor of Science (B.S.) in Business Administration </w:t>
      </w:r>
      <w:r>
        <w:rPr>
          <w:spacing w:val="-2"/>
          <w:w w:val="105"/>
        </w:rPr>
        <w:t>Michigan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East </w:t>
      </w:r>
      <w:r>
        <w:rPr>
          <w:w w:val="105"/>
        </w:rPr>
        <w:t>Lansing, MI</w:t>
      </w:r>
    </w:p>
    <w:p>
      <w:pPr>
        <w:pStyle w:val="BodyText"/>
        <w:spacing w:before="11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Heading2"/>
        <w:spacing w:before="110"/>
      </w:pPr>
      <w:r>
        <w:rPr/>
        <w:br w:type="column"/>
      </w:r>
      <w:r>
        <w:rPr>
          <w:color w:val="0C0C0C"/>
          <w:w w:val="90"/>
          <w:sz w:val="29"/>
        </w:rPr>
        <w:t>P</w:t>
      </w:r>
      <w:r>
        <w:rPr>
          <w:color w:val="0C0C0C"/>
          <w:w w:val="90"/>
        </w:rPr>
        <w:t>ROFESSIONAL</w:t>
      </w:r>
      <w:r>
        <w:rPr>
          <w:color w:val="0C0C0C"/>
          <w:spacing w:val="6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78" w:lineRule="auto" w:before="130"/>
        <w:ind w:left="120" w:right="254"/>
      </w:pPr>
      <w:r>
        <w:rPr>
          <w:color w:val="0C0C0C"/>
          <w:w w:val="105"/>
        </w:rPr>
        <w:t>Budget Analyst </w:t>
      </w:r>
      <w:r>
        <w:rPr>
          <w:w w:val="105"/>
        </w:rPr>
        <w:t>| University of Michigan – College of Engineering, Ann Arbor, MI April 2018 - Present</w:t>
      </w:r>
    </w:p>
    <w:p>
      <w:pPr>
        <w:pStyle w:val="BodyText"/>
        <w:spacing w:line="268" w:lineRule="auto" w:before="180"/>
        <w:ind w:left="901" w:right="254"/>
      </w:pPr>
      <w:r>
        <w:rPr>
          <w:w w:val="105"/>
        </w:rPr>
        <w:t>Manage $62 million in academic and research budgets across 10 engineering departments, tracking faculty salary allocations, grant</w:t>
      </w:r>
      <w:r>
        <w:rPr>
          <w:spacing w:val="40"/>
          <w:w w:val="105"/>
        </w:rPr>
        <w:t> </w:t>
      </w:r>
      <w:r>
        <w:rPr>
          <w:w w:val="105"/>
        </w:rPr>
        <w:t>expenditures, and operational costs monthly</w:t>
      </w:r>
    </w:p>
    <w:p>
      <w:pPr>
        <w:pStyle w:val="BodyText"/>
        <w:spacing w:line="278" w:lineRule="auto" w:before="84"/>
        <w:ind w:left="901" w:right="254"/>
      </w:pPr>
      <w:r>
        <w:rPr>
          <w:w w:val="105"/>
        </w:rPr>
        <w:t>Partner with department chairs to develop annual spending plans and</w:t>
      </w:r>
      <w:r>
        <w:rPr>
          <w:spacing w:val="40"/>
          <w:w w:val="105"/>
        </w:rPr>
        <w:t> </w:t>
      </w:r>
      <w:r>
        <w:rPr>
          <w:w w:val="105"/>
        </w:rPr>
        <w:t>track faculty effort allocations, ensuring alignment between budget</w:t>
      </w:r>
      <w:r>
        <w:rPr>
          <w:spacing w:val="40"/>
          <w:w w:val="105"/>
        </w:rPr>
        <w:t> </w:t>
      </w:r>
      <w:r>
        <w:rPr>
          <w:w w:val="105"/>
        </w:rPr>
        <w:t>commitments and actual salary charges</w:t>
      </w:r>
    </w:p>
    <w:p>
      <w:pPr>
        <w:pStyle w:val="BodyText"/>
        <w:spacing w:line="268" w:lineRule="auto"/>
        <w:ind w:left="901" w:right="254"/>
      </w:pPr>
      <w:r>
        <w:rPr>
          <w:w w:val="105"/>
        </w:rPr>
        <w:t>Reduced departmental overspending by 15% through data-driven</w:t>
      </w:r>
      <w:r>
        <w:rPr>
          <w:spacing w:val="40"/>
          <w:w w:val="105"/>
        </w:rPr>
        <w:t> </w:t>
      </w:r>
      <w:r>
        <w:rPr>
          <w:w w:val="105"/>
        </w:rPr>
        <w:t>resource planning, implementing forecasting tools that gave department</w:t>
      </w:r>
      <w:r>
        <w:rPr>
          <w:spacing w:val="40"/>
          <w:w w:val="105"/>
        </w:rPr>
        <w:t> </w:t>
      </w:r>
      <w:r>
        <w:rPr>
          <w:w w:val="105"/>
        </w:rPr>
        <w:t>administrators early warning of budget risks</w:t>
      </w:r>
    </w:p>
    <w:p>
      <w:pPr>
        <w:pStyle w:val="BodyText"/>
        <w:spacing w:line="268" w:lineRule="auto" w:before="100"/>
        <w:ind w:left="901" w:right="39"/>
      </w:pPr>
      <w:r>
        <w:rPr>
          <w:w w:val="105"/>
        </w:rPr>
        <w:t>Monitor 40+ active research grants for compliance with university policies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sponsor</w:t>
      </w:r>
      <w:r>
        <w:rPr>
          <w:spacing w:val="40"/>
          <w:w w:val="105"/>
        </w:rPr>
        <w:t> </w:t>
      </w:r>
      <w:r>
        <w:rPr>
          <w:w w:val="105"/>
        </w:rPr>
        <w:t>requirements,</w:t>
      </w:r>
      <w:r>
        <w:rPr>
          <w:spacing w:val="40"/>
          <w:w w:val="105"/>
        </w:rPr>
        <w:t> </w:t>
      </w:r>
      <w:r>
        <w:rPr>
          <w:w w:val="105"/>
        </w:rPr>
        <w:t>flagging</w:t>
      </w:r>
      <w:r>
        <w:rPr>
          <w:spacing w:val="40"/>
          <w:w w:val="105"/>
        </w:rPr>
        <w:t> </w:t>
      </w:r>
      <w:r>
        <w:rPr>
          <w:w w:val="105"/>
        </w:rPr>
        <w:t>cost</w:t>
      </w:r>
      <w:r>
        <w:rPr>
          <w:spacing w:val="40"/>
          <w:w w:val="105"/>
        </w:rPr>
        <w:t> </w:t>
      </w:r>
      <w:r>
        <w:rPr>
          <w:w w:val="105"/>
        </w:rPr>
        <w:t>transfers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overspending</w:t>
      </w:r>
      <w:r>
        <w:rPr>
          <w:spacing w:val="40"/>
          <w:w w:val="105"/>
        </w:rPr>
        <w:t> </w:t>
      </w:r>
      <w:r>
        <w:rPr>
          <w:w w:val="105"/>
        </w:rPr>
        <w:t>for the sponsored programs office review</w:t>
      </w:r>
    </w:p>
    <w:p>
      <w:pPr>
        <w:pStyle w:val="BodyText"/>
        <w:spacing w:line="268" w:lineRule="auto" w:before="99"/>
        <w:ind w:left="901" w:right="254"/>
      </w:pPr>
      <w:r>
        <w:rPr>
          <w:w w:val="105"/>
        </w:rPr>
        <w:t>Prepare monthly and annual budget variance reports for the dean's office and department leadership, summarizing financial performance and</w:t>
      </w:r>
      <w:r>
        <w:rPr>
          <w:spacing w:val="40"/>
          <w:w w:val="105"/>
        </w:rPr>
        <w:t> </w:t>
      </w:r>
      <w:r>
        <w:rPr>
          <w:w w:val="105"/>
        </w:rPr>
        <w:t>projecting year-end positions</w:t>
      </w:r>
    </w:p>
    <w:p>
      <w:pPr>
        <w:pStyle w:val="BodyText"/>
        <w:spacing w:line="268" w:lineRule="auto" w:before="100"/>
        <w:ind w:left="901" w:right="254"/>
      </w:pPr>
      <w:r>
        <w:rPr>
          <w:w w:val="105"/>
        </w:rPr>
        <w:t>Support academic hiring planning by modeling personnel cost scenarios</w:t>
      </w:r>
      <w:r>
        <w:rPr>
          <w:spacing w:val="80"/>
          <w:w w:val="105"/>
        </w:rPr>
        <w:t> </w:t>
      </w:r>
      <w:r>
        <w:rPr>
          <w:w w:val="105"/>
        </w:rPr>
        <w:t>and projecting multi-year salary and benefits obligations for new faculty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positions</w:t>
      </w:r>
    </w:p>
    <w:p>
      <w:pPr>
        <w:pStyle w:val="BodyText"/>
        <w:spacing w:before="72"/>
        <w:ind w:left="0"/>
      </w:pPr>
    </w:p>
    <w:p>
      <w:pPr>
        <w:pStyle w:val="BodyText"/>
        <w:spacing w:line="278" w:lineRule="auto" w:before="0"/>
        <w:ind w:left="120"/>
      </w:pPr>
      <w:r>
        <w:rPr>
          <w:color w:val="0C0C0C"/>
          <w:w w:val="105"/>
        </w:rPr>
        <w:t>Financial Analyst </w:t>
      </w:r>
      <w:r>
        <w:rPr>
          <w:w w:val="105"/>
        </w:rPr>
        <w:t>| Michigan State University – School of Business, East Lansing, MI June 2014 - March 2018</w:t>
      </w:r>
    </w:p>
    <w:p>
      <w:pPr>
        <w:pStyle w:val="BodyText"/>
        <w:spacing w:line="268" w:lineRule="auto" w:before="180"/>
        <w:ind w:left="901" w:right="39"/>
      </w:pPr>
      <w:r>
        <w:rPr>
          <w:w w:val="105"/>
        </w:rPr>
        <w:t>Supported annual budget development and tuition revenue projections for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School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Business,</w:t>
      </w:r>
      <w:r>
        <w:rPr>
          <w:spacing w:val="40"/>
          <w:w w:val="105"/>
        </w:rPr>
        <w:t> </w:t>
      </w:r>
      <w:r>
        <w:rPr>
          <w:w w:val="105"/>
        </w:rPr>
        <w:t>contributing</w:t>
      </w:r>
      <w:r>
        <w:rPr>
          <w:spacing w:val="40"/>
          <w:w w:val="105"/>
        </w:rPr>
        <w:t> </w:t>
      </w:r>
      <w:r>
        <w:rPr>
          <w:w w:val="105"/>
        </w:rPr>
        <w:t>enrollment-based</w:t>
      </w:r>
      <w:r>
        <w:rPr>
          <w:spacing w:val="40"/>
          <w:w w:val="105"/>
        </w:rPr>
        <w:t> </w:t>
      </w:r>
      <w:r>
        <w:rPr>
          <w:w w:val="105"/>
        </w:rPr>
        <w:t>revenue</w:t>
      </w:r>
      <w:r>
        <w:rPr>
          <w:spacing w:val="40"/>
          <w:w w:val="105"/>
        </w:rPr>
        <w:t> </w:t>
      </w:r>
      <w:r>
        <w:rPr>
          <w:w w:val="105"/>
        </w:rPr>
        <w:t>models used in 3-year financial planning</w:t>
      </w:r>
    </w:p>
    <w:p>
      <w:pPr>
        <w:pStyle w:val="BodyText"/>
        <w:spacing w:line="268" w:lineRule="auto" w:before="100"/>
        <w:ind w:left="901" w:right="483"/>
        <w:jc w:val="both"/>
      </w:pPr>
      <w:r>
        <w:rPr>
          <w:w w:val="105"/>
        </w:rPr>
        <w:t>Reviewed grant compliance spending across 15 sponsored projects, improving tracking procedures that reduced disallowed cost findings during annual sponsored programs audit</w:t>
      </w:r>
    </w:p>
    <w:p>
      <w:pPr>
        <w:pStyle w:val="BodyText"/>
        <w:spacing w:line="278" w:lineRule="auto" w:before="84"/>
        <w:ind w:left="901"/>
      </w:pPr>
      <w:r>
        <w:rPr>
          <w:w w:val="105"/>
        </w:rPr>
        <w:t>Delivered monthly budget variance reports to school leadership, providing</w:t>
      </w:r>
      <w:r>
        <w:rPr>
          <w:spacing w:val="40"/>
          <w:w w:val="105"/>
        </w:rPr>
        <w:t> </w:t>
      </w:r>
      <w:r>
        <w:rPr>
          <w:w w:val="105"/>
        </w:rPr>
        <w:t>actuals</w:t>
      </w:r>
      <w:r>
        <w:rPr>
          <w:spacing w:val="40"/>
          <w:w w:val="105"/>
        </w:rPr>
        <w:t> </w:t>
      </w:r>
      <w:r>
        <w:rPr>
          <w:w w:val="105"/>
        </w:rPr>
        <w:t>versus</w:t>
      </w:r>
      <w:r>
        <w:rPr>
          <w:spacing w:val="40"/>
          <w:w w:val="105"/>
        </w:rPr>
        <w:t> </w:t>
      </w:r>
      <w:r>
        <w:rPr>
          <w:w w:val="105"/>
        </w:rPr>
        <w:t>budget</w:t>
      </w:r>
      <w:r>
        <w:rPr>
          <w:spacing w:val="40"/>
          <w:w w:val="105"/>
        </w:rPr>
        <w:t> </w:t>
      </w:r>
      <w:r>
        <w:rPr>
          <w:w w:val="105"/>
        </w:rPr>
        <w:t>summaries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projecting</w:t>
      </w:r>
      <w:r>
        <w:rPr>
          <w:spacing w:val="40"/>
          <w:w w:val="105"/>
        </w:rPr>
        <w:t> </w:t>
      </w:r>
      <w:r>
        <w:rPr>
          <w:w w:val="105"/>
        </w:rPr>
        <w:t>year-end</w:t>
      </w:r>
      <w:r>
        <w:rPr>
          <w:spacing w:val="40"/>
          <w:w w:val="105"/>
        </w:rPr>
        <w:t> </w:t>
      </w:r>
      <w:r>
        <w:rPr>
          <w:w w:val="105"/>
        </w:rPr>
        <w:t>positions</w:t>
      </w:r>
      <w:r>
        <w:rPr>
          <w:spacing w:val="40"/>
          <w:w w:val="105"/>
        </w:rPr>
        <w:t> </w:t>
      </w:r>
      <w:r>
        <w:rPr>
          <w:w w:val="105"/>
        </w:rPr>
        <w:t>for each administrative unit</w:t>
      </w:r>
    </w:p>
    <w:sectPr>
      <w:type w:val="continuous"/>
      <w:pgSz w:w="11920" w:h="16860"/>
      <w:pgMar w:top="560" w:bottom="280" w:left="141" w:right="425"/>
      <w:cols w:num="2" w:equalWidth="0">
        <w:col w:w="3386" w:space="613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5"/>
      <w:ind w:left="65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3950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2026-03-12T15:01:08Z</dcterms:created>
  <dcterms:modified xsi:type="dcterms:W3CDTF">2026-03-12T15:01:08Z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