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3939" w:right="0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Cameron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Moore</w:t>
      </w:r>
    </w:p>
    <w:p>
      <w:pPr>
        <w:pStyle w:val="Heading2"/>
      </w:pPr>
      <w:r>
        <w:rPr>
          <w:color w:val="FFFFFF"/>
          <w:spacing w:val="2"/>
        </w:rPr>
        <w:t>Compliance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Attorney</w:t>
      </w:r>
    </w:p>
    <w:p>
      <w:pPr>
        <w:pStyle w:val="BodyText"/>
        <w:spacing w:line="271" w:lineRule="auto" w:before="153"/>
        <w:ind w:left="4260" w:right="121"/>
        <w:jc w:val="center"/>
      </w:pPr>
      <w:r>
        <w:rPr>
          <w:color w:val="FFFFFF"/>
          <w:w w:val="105"/>
        </w:rPr>
        <w:t>Detail-oriented compliance attorney with 5+ years of experience designing and auditing regulatory programs across finance and healthcare sectors. Reduced compliance violations by 45% through 30 enterprise-wide risk assessments, achieved a 100% audit pass rate on 50+ drafted policies, and improved employee policy-acknowledgment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60%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98%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targeted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training.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Expert in HIPAA, SOX, FINRA, and anti-money-laundering frameworks.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</w:pPr>
      <w:r>
        <w:rPr>
          <w:smallCaps/>
          <w:color w:val="C24B8B"/>
        </w:rPr>
        <w:t>Contact</w:t>
      </w:r>
      <w:r>
        <w:rPr>
          <w:smallCaps/>
          <w:color w:val="C24B8B"/>
          <w:spacing w:val="3"/>
        </w:rPr>
        <w:t> </w:t>
      </w:r>
      <w:r>
        <w:rPr>
          <w:smallCaps/>
          <w:color w:val="C24B8B"/>
          <w:spacing w:val="-2"/>
        </w:rPr>
        <w:t>information</w:t>
      </w:r>
    </w:p>
    <w:p>
      <w:pPr>
        <w:pStyle w:val="BodyText"/>
        <w:spacing w:before="58"/>
        <w:ind w:left="0"/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smallCaps/>
          <w:color w:val="C24B8B"/>
          <w:spacing w:val="2"/>
        </w:rPr>
        <w:t>Professional</w:t>
      </w:r>
      <w:r>
        <w:rPr>
          <w:smallCaps/>
          <w:color w:val="C24B8B"/>
          <w:spacing w:val="50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pStyle w:val="BodyText"/>
        <w:spacing w:line="261" w:lineRule="auto" w:before="145"/>
        <w:ind w:left="120" w:right="3053"/>
      </w:pPr>
      <w:r>
        <w:rPr>
          <w:color w:val="C24B8B"/>
          <w:w w:val="105"/>
        </w:rPr>
        <w:t>Compliance Counsel </w:t>
      </w:r>
      <w:r>
        <w:rPr>
          <w:w w:val="105"/>
        </w:rPr>
        <w:t>| FinHealth Group | City, ST February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408" w:space="1590"/>
            <w:col w:w="7356"/>
          </w:cols>
        </w:sectPr>
      </w:pPr>
    </w:p>
    <w:p>
      <w:pPr>
        <w:pStyle w:val="BodyText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73" w:lineRule="auto" w:before="75"/>
        <w:ind w:left="826" w:right="6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513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5133975">
                                <a:moveTo>
                                  <a:pt x="47625" y="5106809"/>
                                </a:moveTo>
                                <a:lnTo>
                                  <a:pt x="27165" y="5086350"/>
                                </a:lnTo>
                                <a:lnTo>
                                  <a:pt x="20472" y="5086350"/>
                                </a:lnTo>
                                <a:lnTo>
                                  <a:pt x="0" y="5106809"/>
                                </a:lnTo>
                                <a:lnTo>
                                  <a:pt x="0" y="5110391"/>
                                </a:lnTo>
                                <a:lnTo>
                                  <a:pt x="0" y="5113515"/>
                                </a:lnTo>
                                <a:lnTo>
                                  <a:pt x="20472" y="5133975"/>
                                </a:lnTo>
                                <a:lnTo>
                                  <a:pt x="27165" y="5133975"/>
                                </a:lnTo>
                                <a:lnTo>
                                  <a:pt x="47625" y="5113515"/>
                                </a:lnTo>
                                <a:lnTo>
                                  <a:pt x="47625" y="5106809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4754397"/>
                                </a:moveTo>
                                <a:lnTo>
                                  <a:pt x="27165" y="4733925"/>
                                </a:lnTo>
                                <a:lnTo>
                                  <a:pt x="20472" y="4733925"/>
                                </a:lnTo>
                                <a:lnTo>
                                  <a:pt x="0" y="4754397"/>
                                </a:lnTo>
                                <a:lnTo>
                                  <a:pt x="0" y="4757966"/>
                                </a:lnTo>
                                <a:lnTo>
                                  <a:pt x="0" y="4761090"/>
                                </a:lnTo>
                                <a:lnTo>
                                  <a:pt x="20472" y="4781550"/>
                                </a:lnTo>
                                <a:lnTo>
                                  <a:pt x="27165" y="4781550"/>
                                </a:lnTo>
                                <a:lnTo>
                                  <a:pt x="47625" y="4761090"/>
                                </a:lnTo>
                                <a:lnTo>
                                  <a:pt x="47625" y="47543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4401972"/>
                                </a:moveTo>
                                <a:lnTo>
                                  <a:pt x="27165" y="4381500"/>
                                </a:lnTo>
                                <a:lnTo>
                                  <a:pt x="20472" y="4381500"/>
                                </a:lnTo>
                                <a:lnTo>
                                  <a:pt x="0" y="4401972"/>
                                </a:lnTo>
                                <a:lnTo>
                                  <a:pt x="0" y="4405541"/>
                                </a:lnTo>
                                <a:lnTo>
                                  <a:pt x="0" y="4408665"/>
                                </a:lnTo>
                                <a:lnTo>
                                  <a:pt x="20472" y="4429125"/>
                                </a:lnTo>
                                <a:lnTo>
                                  <a:pt x="27165" y="4429125"/>
                                </a:lnTo>
                                <a:lnTo>
                                  <a:pt x="47625" y="4408665"/>
                                </a:lnTo>
                                <a:lnTo>
                                  <a:pt x="47625" y="4401972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4045597"/>
                                </a:moveTo>
                                <a:lnTo>
                                  <a:pt x="31102" y="4029075"/>
                                </a:lnTo>
                                <a:lnTo>
                                  <a:pt x="16535" y="4029075"/>
                                </a:lnTo>
                                <a:lnTo>
                                  <a:pt x="0" y="4045597"/>
                                </a:lnTo>
                                <a:lnTo>
                                  <a:pt x="0" y="4048125"/>
                                </a:lnTo>
                                <a:lnTo>
                                  <a:pt x="0" y="4050652"/>
                                </a:lnTo>
                                <a:lnTo>
                                  <a:pt x="16535" y="4067175"/>
                                </a:lnTo>
                                <a:lnTo>
                                  <a:pt x="31102" y="4067175"/>
                                </a:lnTo>
                                <a:lnTo>
                                  <a:pt x="47625" y="4050652"/>
                                </a:lnTo>
                                <a:lnTo>
                                  <a:pt x="47625" y="40455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5087772"/>
                                </a:moveTo>
                                <a:lnTo>
                                  <a:pt x="2713215" y="5067300"/>
                                </a:lnTo>
                                <a:lnTo>
                                  <a:pt x="2706522" y="5067300"/>
                                </a:lnTo>
                                <a:lnTo>
                                  <a:pt x="2686050" y="5087772"/>
                                </a:lnTo>
                                <a:lnTo>
                                  <a:pt x="2686050" y="5091341"/>
                                </a:lnTo>
                                <a:lnTo>
                                  <a:pt x="2686050" y="5094465"/>
                                </a:lnTo>
                                <a:lnTo>
                                  <a:pt x="2706522" y="5114925"/>
                                </a:lnTo>
                                <a:lnTo>
                                  <a:pt x="2713215" y="5114925"/>
                                </a:lnTo>
                                <a:lnTo>
                                  <a:pt x="2733675" y="5094465"/>
                                </a:lnTo>
                                <a:lnTo>
                                  <a:pt x="2733675" y="5087772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4582947"/>
                                </a:moveTo>
                                <a:lnTo>
                                  <a:pt x="2713215" y="4562475"/>
                                </a:lnTo>
                                <a:lnTo>
                                  <a:pt x="2706522" y="4562475"/>
                                </a:lnTo>
                                <a:lnTo>
                                  <a:pt x="2686050" y="4582947"/>
                                </a:lnTo>
                                <a:lnTo>
                                  <a:pt x="2686050" y="4586516"/>
                                </a:lnTo>
                                <a:lnTo>
                                  <a:pt x="2686050" y="4589640"/>
                                </a:lnTo>
                                <a:lnTo>
                                  <a:pt x="2706522" y="4610100"/>
                                </a:lnTo>
                                <a:lnTo>
                                  <a:pt x="2713215" y="4610100"/>
                                </a:lnTo>
                                <a:lnTo>
                                  <a:pt x="2733675" y="4589640"/>
                                </a:lnTo>
                                <a:lnTo>
                                  <a:pt x="2733675" y="4582947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4078122"/>
                                </a:moveTo>
                                <a:lnTo>
                                  <a:pt x="2713215" y="4057650"/>
                                </a:lnTo>
                                <a:lnTo>
                                  <a:pt x="2706522" y="4057650"/>
                                </a:lnTo>
                                <a:lnTo>
                                  <a:pt x="2686050" y="4078122"/>
                                </a:lnTo>
                                <a:lnTo>
                                  <a:pt x="2686050" y="4081691"/>
                                </a:lnTo>
                                <a:lnTo>
                                  <a:pt x="2686050" y="4084815"/>
                                </a:lnTo>
                                <a:lnTo>
                                  <a:pt x="2706522" y="4105275"/>
                                </a:lnTo>
                                <a:lnTo>
                                  <a:pt x="2713215" y="4105275"/>
                                </a:lnTo>
                                <a:lnTo>
                                  <a:pt x="2733675" y="4084815"/>
                                </a:lnTo>
                                <a:lnTo>
                                  <a:pt x="2733675" y="4078122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3573297"/>
                                </a:moveTo>
                                <a:lnTo>
                                  <a:pt x="2713215" y="3552825"/>
                                </a:lnTo>
                                <a:lnTo>
                                  <a:pt x="2706522" y="3552825"/>
                                </a:lnTo>
                                <a:lnTo>
                                  <a:pt x="2686050" y="3573297"/>
                                </a:lnTo>
                                <a:lnTo>
                                  <a:pt x="2686050" y="3576866"/>
                                </a:lnTo>
                                <a:lnTo>
                                  <a:pt x="2686050" y="3579990"/>
                                </a:lnTo>
                                <a:lnTo>
                                  <a:pt x="2706522" y="3600450"/>
                                </a:lnTo>
                                <a:lnTo>
                                  <a:pt x="2713215" y="3600450"/>
                                </a:lnTo>
                                <a:lnTo>
                                  <a:pt x="2733675" y="3579990"/>
                                </a:lnTo>
                                <a:lnTo>
                                  <a:pt x="2733675" y="35732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2540660"/>
                                </a:moveTo>
                                <a:lnTo>
                                  <a:pt x="2717152" y="2524125"/>
                                </a:lnTo>
                                <a:lnTo>
                                  <a:pt x="2702585" y="2524125"/>
                                </a:lnTo>
                                <a:lnTo>
                                  <a:pt x="2686050" y="2540660"/>
                                </a:lnTo>
                                <a:lnTo>
                                  <a:pt x="2686050" y="2543175"/>
                                </a:lnTo>
                                <a:lnTo>
                                  <a:pt x="2686050" y="2545702"/>
                                </a:lnTo>
                                <a:lnTo>
                                  <a:pt x="2702585" y="2562225"/>
                                </a:lnTo>
                                <a:lnTo>
                                  <a:pt x="2717152" y="2562225"/>
                                </a:lnTo>
                                <a:lnTo>
                                  <a:pt x="2733675" y="2545702"/>
                                </a:lnTo>
                                <a:lnTo>
                                  <a:pt x="2733675" y="2540660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2039772"/>
                                </a:moveTo>
                                <a:lnTo>
                                  <a:pt x="2713215" y="2019300"/>
                                </a:lnTo>
                                <a:lnTo>
                                  <a:pt x="2706522" y="2019300"/>
                                </a:lnTo>
                                <a:lnTo>
                                  <a:pt x="2686050" y="2039772"/>
                                </a:lnTo>
                                <a:lnTo>
                                  <a:pt x="2686050" y="2043341"/>
                                </a:lnTo>
                                <a:lnTo>
                                  <a:pt x="2686050" y="2046465"/>
                                </a:lnTo>
                                <a:lnTo>
                                  <a:pt x="2706522" y="2066925"/>
                                </a:lnTo>
                                <a:lnTo>
                                  <a:pt x="2713215" y="2066925"/>
                                </a:lnTo>
                                <a:lnTo>
                                  <a:pt x="2733675" y="2046465"/>
                                </a:lnTo>
                                <a:lnTo>
                                  <a:pt x="2733675" y="2039772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1030122"/>
                                </a:moveTo>
                                <a:lnTo>
                                  <a:pt x="2713215" y="1009650"/>
                                </a:lnTo>
                                <a:lnTo>
                                  <a:pt x="2706522" y="1009650"/>
                                </a:lnTo>
                                <a:lnTo>
                                  <a:pt x="2686050" y="1030122"/>
                                </a:lnTo>
                                <a:lnTo>
                                  <a:pt x="2686050" y="1033691"/>
                                </a:lnTo>
                                <a:lnTo>
                                  <a:pt x="2686050" y="1036815"/>
                                </a:lnTo>
                                <a:lnTo>
                                  <a:pt x="2706522" y="1057275"/>
                                </a:lnTo>
                                <a:lnTo>
                                  <a:pt x="2713215" y="1057275"/>
                                </a:lnTo>
                                <a:lnTo>
                                  <a:pt x="2733675" y="1036815"/>
                                </a:lnTo>
                                <a:lnTo>
                                  <a:pt x="2733675" y="1030122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51339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c24b8b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1;top:5430;width:315;height:317" type="#_x0000_t75" id="docshape8" stroked="false">
                  <v:imagedata r:id="rId8" o:title=""/>
                </v:shape>
                <v:shape style="position:absolute;left:509;top:5055;width:4305;height:8085" id="docshape9" coordorigin="510,5055" coordsize="4305,8085" path="m585,13097l584,13092,580,13083,578,13079,571,13072,567,13070,558,13066,553,13065,542,13065,537,13066,528,13070,524,13072,517,13079,515,13083,511,13092,510,13097,510,13103,510,13108,511,13113,515,13122,517,13126,524,13133,528,13135,537,13139,542,13140,553,13140,558,13139,567,13135,571,13133,578,13126,580,13122,584,13113,585,13108,585,13097xm585,12542l584,12537,580,12528,578,12524,571,12517,567,12515,558,12511,553,12510,542,12510,537,12511,528,12515,524,12517,517,12524,515,12528,511,12537,510,12542,510,12548,510,12553,511,12558,515,12567,517,12571,524,12578,528,12580,537,12584,542,12585,553,12585,558,12584,567,12580,571,12578,578,12571,580,12567,584,12558,585,12553,585,12542xm585,11987l584,11982,580,11973,578,11969,571,11962,567,11960,558,11956,553,11955,542,11955,537,11956,528,11960,524,11962,517,11969,515,11973,511,11982,510,11987,510,11993,510,11998,511,12003,515,12012,517,12016,524,12023,528,12025,537,12029,542,12030,553,12030,558,12029,567,12025,571,12023,578,12016,580,12012,584,12003,585,11998,585,11987xm585,11426l584,11422,581,11415,579,11412,573,11406,570,11404,563,11401,559,11400,536,11400,532,11401,525,11404,522,11406,516,11412,514,11415,511,11422,510,11426,510,11430,510,11434,511,11438,514,11445,516,11448,522,11454,525,11456,532,11459,536,11460,559,11460,563,11459,570,11456,573,11454,579,11448,581,11445,584,11438,585,11434,585,11426xm585,10862l584,10857,580,10848,578,10844,571,10837,567,10835,558,10831,553,10830,542,10830,537,10831,528,10835,524,10837,517,10844,515,10848,511,10857,510,10862,510,10868,510,10873,511,10878,515,10887,517,10891,524,10898,528,10900,537,10904,542,10905,553,10905,558,10904,567,10900,571,10898,578,10891,580,10887,584,10878,585,10873,585,10862xm585,10307l584,10302,580,10293,578,10289,571,10282,567,10280,558,10276,553,10275,542,10275,537,10276,528,10280,524,10282,517,10289,515,10293,511,10302,510,10307,510,10313,510,10318,511,10323,515,10332,517,10336,524,10343,528,10345,537,10349,542,10350,553,10350,558,10349,567,10345,571,10343,578,10336,580,10332,584,10323,585,10318,585,10307xm585,9752l584,9747,580,9738,578,9734,571,9727,567,9725,558,9721,553,9720,542,9720,537,9721,528,9725,524,9727,517,9734,515,9738,511,9747,510,9752,510,9758,510,9763,511,9768,515,9777,517,9781,524,9788,528,9790,537,9794,542,9795,553,9795,558,9794,567,9790,571,9788,578,9781,580,9777,584,9768,585,9763,585,9752xm585,9182l584,9177,580,9168,578,9164,571,9157,567,9155,558,9151,553,9150,542,9150,537,9151,528,9155,524,9157,517,9164,515,9168,511,9177,510,9182,510,9188,510,9193,511,9198,515,9207,517,9211,524,9218,528,9220,537,9224,542,9225,553,9225,558,9224,567,9220,571,9218,578,9211,580,9207,584,9198,585,9193,585,9182xm585,8627l584,8622,580,8613,578,8609,571,8602,567,8600,558,8596,553,8595,542,8595,537,8596,528,8600,524,8602,517,8609,515,8613,511,8622,510,8627,510,8633,510,8638,511,8643,515,8652,517,8656,524,8663,528,8665,537,8669,542,8670,553,8670,558,8669,567,8665,571,8663,578,8656,580,8652,584,8643,585,8638,585,8627xm4815,13067l4814,13062,4810,13053,4808,13049,4801,13042,4797,13040,4788,13036,4783,13035,4772,13035,4767,13036,4758,13040,4754,13042,4747,13049,4745,13053,4741,13062,4740,13067,4740,13073,4740,13078,4741,13083,4745,13092,4747,13096,4754,13103,4758,13105,4767,13109,4772,13110,4783,13110,4788,13109,4797,13105,4801,13103,4808,13096,4810,13092,4814,13083,4815,13078,4815,13067xm4815,12272l4814,12267,4810,12258,4808,12254,4801,12247,4797,12245,4788,12241,4783,12240,4772,12240,4767,12241,4758,12245,4754,12247,4747,12254,4745,12258,4741,12267,4740,12272,4740,12278,4740,12283,4741,12288,4745,12297,4747,12301,4754,12308,4758,12310,4767,12314,4772,12315,4783,12315,4788,12314,4797,12310,4801,12308,4808,12301,4810,12297,4814,12288,4815,12283,4815,12272xm4815,11477l4814,11472,4810,11463,4808,11459,4801,11452,4797,11450,4788,11446,4783,11445,4772,11445,4767,11446,4758,11450,4754,11452,4747,11459,4745,11463,4741,11472,4740,11477,4740,11483,4740,11488,4741,11493,4745,11502,4747,11506,4754,11513,4758,11515,4767,11519,4772,11520,4783,11520,4788,11519,4797,11515,4801,11513,4808,11506,4810,11502,4814,11493,4815,11488,4815,11477xm4815,10682l4814,10677,4810,10668,4808,10664,4801,10657,4797,10655,4788,10651,4783,10650,4772,10650,4767,10651,4758,10655,4754,10657,4747,10664,4745,10668,4741,10677,4740,10682,4740,10688,4740,10693,4741,10698,4745,10707,4747,10711,4754,10718,4758,10720,4767,10724,4772,10725,4783,10725,4788,10724,4797,10720,4801,10718,4808,10711,4810,10707,4814,10698,4815,10693,4815,10682xm4815,9056l4814,9052,4811,9045,4809,9042,4803,9036,4800,9034,4793,9031,4789,9030,4766,9030,4762,9031,4755,9034,4752,9036,4746,9042,4744,9045,4741,9052,4740,9056,4740,9060,4740,9064,4741,9068,4744,9075,4746,9078,4752,9084,4755,9086,4762,9089,4766,9090,4789,9090,4793,9089,4800,9086,4803,9084,4809,9078,4811,9075,4814,9068,4815,9064,4815,9056xm4815,8267l4814,8262,4810,8253,4808,8249,4801,8242,4797,8240,4788,8236,4783,8235,4772,8235,4767,8236,4758,8240,4754,8242,4747,8249,4745,8253,4741,8262,4740,8267,4740,8273,4740,8278,4741,8283,4745,8292,4747,8296,4754,8303,4758,8305,4767,8309,4772,8310,4783,8310,4788,8309,4797,8305,4801,8303,4808,8296,4810,8292,4814,8283,4815,8278,4815,826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677l4814,6672,4810,6663,4808,6659,4801,6652,4797,6650,4788,6646,4783,6645,4772,6645,4767,6646,4758,6650,4754,6652,4747,6659,4745,6663,4741,6672,4740,6677,4740,6683,4740,6688,4741,6693,4745,6702,4747,6706,4754,6713,4758,6715,4767,6719,4772,6720,4783,6720,4788,6719,4797,6715,4801,6713,4808,6706,4810,6702,4814,6693,4815,6688,4815,6677xm4815,5882l4814,5877,4810,5868,4808,5864,4801,5857,4797,5855,4788,5851,4783,5850,4772,5850,4767,5851,4758,5855,4754,5857,4747,5864,4745,5868,4741,5877,4740,5882,4740,5888,4740,5893,4741,5898,4745,5907,4747,5911,4754,5918,4758,5920,4767,5924,4772,5925,4783,5925,4788,5924,4797,5920,4801,5918,4808,5911,4810,5907,4814,5898,4815,5893,4815,588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8"/>
      </w:pPr>
      <w:r>
        <w:rPr>
          <w:smallCaps/>
          <w:color w:val="C24B8B"/>
          <w:spacing w:val="-2"/>
          <w:w w:val="105"/>
        </w:rPr>
        <w:t>Education</w:t>
      </w:r>
    </w:p>
    <w:p>
      <w:pPr>
        <w:pStyle w:val="BodyText"/>
        <w:spacing w:before="28"/>
        <w:ind w:left="0"/>
      </w:pPr>
    </w:p>
    <w:p>
      <w:pPr>
        <w:pStyle w:val="BodyText"/>
        <w:ind w:left="362"/>
      </w:pPr>
      <w:r>
        <w:rPr>
          <w:color w:val="C24B8B"/>
          <w:w w:val="105"/>
        </w:rPr>
        <w:t>Juris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Doctor</w:t>
      </w:r>
      <w:r>
        <w:rPr>
          <w:color w:val="C24B8B"/>
          <w:spacing w:val="-11"/>
          <w:w w:val="105"/>
        </w:rPr>
        <w:t> </w:t>
      </w:r>
      <w:r>
        <w:rPr>
          <w:color w:val="C24B8B"/>
          <w:w w:val="105"/>
        </w:rPr>
        <w:t>(J.D.)</w:t>
      </w:r>
      <w:r>
        <w:rPr>
          <w:color w:val="C24B8B"/>
          <w:spacing w:val="-11"/>
          <w:w w:val="105"/>
        </w:rPr>
        <w:t> </w:t>
      </w:r>
      <w:r>
        <w:rPr>
          <w:color w:val="C24B8B"/>
          <w:w w:val="105"/>
        </w:rPr>
        <w:t>|</w:t>
      </w:r>
      <w:r>
        <w:rPr>
          <w:color w:val="C24B8B"/>
          <w:spacing w:val="-11"/>
          <w:w w:val="105"/>
        </w:rPr>
        <w:t> </w:t>
      </w:r>
      <w:r>
        <w:rPr>
          <w:color w:val="C24B8B"/>
          <w:w w:val="105"/>
        </w:rPr>
        <w:t>May</w:t>
      </w:r>
      <w:r>
        <w:rPr>
          <w:color w:val="C24B8B"/>
          <w:spacing w:val="-11"/>
          <w:w w:val="105"/>
        </w:rPr>
        <w:t> </w:t>
      </w:r>
      <w:r>
        <w:rPr>
          <w:color w:val="C24B8B"/>
          <w:spacing w:val="-4"/>
          <w:w w:val="105"/>
        </w:rPr>
        <w:t>2016</w:t>
      </w:r>
    </w:p>
    <w:p>
      <w:pPr>
        <w:pStyle w:val="BodyText"/>
        <w:spacing w:before="18"/>
        <w:ind w:left="362"/>
      </w:pPr>
      <w:r>
        <w:rPr/>
        <w:t>City</w:t>
      </w:r>
      <w:r>
        <w:rPr>
          <w:spacing w:val="4"/>
        </w:rPr>
        <w:t> </w:t>
      </w:r>
      <w:r>
        <w:rPr/>
        <w:t>University</w:t>
      </w:r>
      <w:r>
        <w:rPr>
          <w:spacing w:val="5"/>
        </w:rPr>
        <w:t> </w:t>
      </w:r>
      <w:r>
        <w:rPr/>
        <w:t>Law</w:t>
      </w:r>
      <w:r>
        <w:rPr>
          <w:spacing w:val="5"/>
        </w:rPr>
        <w:t> </w:t>
      </w:r>
      <w:r>
        <w:rPr/>
        <w:t>School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City,</w:t>
      </w:r>
      <w:r>
        <w:rPr>
          <w:spacing w:val="5"/>
        </w:rPr>
        <w:t> </w:t>
      </w:r>
      <w:r>
        <w:rPr>
          <w:spacing w:val="-5"/>
        </w:rPr>
        <w:t>ST</w:t>
      </w:r>
    </w:p>
    <w:p>
      <w:pPr>
        <w:pStyle w:val="BodyText"/>
        <w:spacing w:before="21"/>
        <w:ind w:left="0"/>
      </w:pPr>
    </w:p>
    <w:p>
      <w:pPr>
        <w:pStyle w:val="BodyText"/>
        <w:spacing w:line="278" w:lineRule="auto"/>
        <w:ind w:left="362"/>
      </w:pPr>
      <w:r>
        <w:rPr>
          <w:color w:val="C24B8B"/>
          <w:w w:val="105"/>
        </w:rPr>
        <w:t>Bachelor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of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Arts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in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Political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Science</w:t>
      </w:r>
      <w:r>
        <w:rPr>
          <w:color w:val="C24B8B"/>
          <w:spacing w:val="-12"/>
          <w:w w:val="105"/>
        </w:rPr>
        <w:t> </w:t>
      </w:r>
      <w:r>
        <w:rPr>
          <w:color w:val="C24B8B"/>
          <w:w w:val="105"/>
        </w:rPr>
        <w:t>| May 2013</w:t>
      </w:r>
    </w:p>
    <w:p>
      <w:pPr>
        <w:pStyle w:val="BodyText"/>
        <w:ind w:left="362"/>
      </w:pPr>
      <w:r>
        <w:rPr/>
        <w:t>State University | City, </w:t>
      </w:r>
      <w:r>
        <w:rPr>
          <w:spacing w:val="-5"/>
        </w:rPr>
        <w:t>ST</w:t>
      </w:r>
    </w:p>
    <w:p>
      <w:pPr>
        <w:pStyle w:val="BodyText"/>
        <w:spacing w:before="28"/>
        <w:ind w:left="0"/>
      </w:pPr>
    </w:p>
    <w:p>
      <w:pPr>
        <w:pStyle w:val="Heading1"/>
        <w:spacing w:before="0"/>
      </w:pPr>
      <w:r>
        <w:rPr>
          <w:smallCaps/>
          <w:color w:val="C24B8B"/>
        </w:rPr>
        <w:t>Key</w:t>
      </w:r>
      <w:r>
        <w:rPr>
          <w:smallCaps/>
          <w:color w:val="C24B8B"/>
          <w:spacing w:val="4"/>
        </w:rPr>
        <w:t> </w:t>
      </w:r>
      <w:r>
        <w:rPr>
          <w:smallCaps/>
          <w:color w:val="C24B8B"/>
          <w:spacing w:val="-2"/>
        </w:rPr>
        <w:t>skills</w:t>
      </w:r>
    </w:p>
    <w:p>
      <w:pPr>
        <w:pStyle w:val="BodyText"/>
        <w:spacing w:before="27"/>
        <w:ind w:left="0"/>
      </w:pPr>
    </w:p>
    <w:p>
      <w:pPr>
        <w:pStyle w:val="BodyText"/>
        <w:spacing w:line="278" w:lineRule="auto" w:before="1"/>
      </w:pPr>
      <w:r>
        <w:rPr>
          <w:spacing w:val="-2"/>
          <w:w w:val="105"/>
        </w:rPr>
        <w:t>Risk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assessment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violation mitigation</w:t>
      </w:r>
    </w:p>
    <w:p>
      <w:pPr>
        <w:pStyle w:val="BodyText"/>
        <w:spacing w:line="278" w:lineRule="auto" w:before="74"/>
      </w:pPr>
      <w:r>
        <w:rPr>
          <w:w w:val="105"/>
        </w:rPr>
        <w:t>Compliance</w:t>
      </w:r>
      <w:r>
        <w:rPr>
          <w:spacing w:val="-3"/>
          <w:w w:val="105"/>
        </w:rPr>
        <w:t> </w:t>
      </w:r>
      <w:r>
        <w:rPr>
          <w:w w:val="105"/>
        </w:rPr>
        <w:t>policy</w:t>
      </w:r>
      <w:r>
        <w:rPr>
          <w:spacing w:val="-3"/>
          <w:w w:val="105"/>
        </w:rPr>
        <w:t> </w:t>
      </w:r>
      <w:r>
        <w:rPr>
          <w:w w:val="105"/>
        </w:rPr>
        <w:t>drafting</w:t>
      </w:r>
      <w:r>
        <w:rPr>
          <w:spacing w:val="-3"/>
          <w:w w:val="105"/>
        </w:rPr>
        <w:t> </w:t>
      </w:r>
      <w:r>
        <w:rPr>
          <w:w w:val="105"/>
        </w:rPr>
        <w:t>and audit preparedness</w:t>
      </w:r>
    </w:p>
    <w:p>
      <w:pPr>
        <w:pStyle w:val="BodyText"/>
        <w:spacing w:line="261" w:lineRule="auto" w:before="90"/>
      </w:pPr>
      <w:r>
        <w:rPr>
          <w:spacing w:val="-2"/>
          <w:w w:val="105"/>
        </w:rPr>
        <w:t>HIPAA,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SOX,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AML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regulatory frameworks</w:t>
      </w:r>
    </w:p>
    <w:p>
      <w:pPr>
        <w:pStyle w:val="BodyText"/>
        <w:spacing w:line="278" w:lineRule="auto" w:before="104"/>
      </w:pPr>
      <w:r>
        <w:rPr>
          <w:w w:val="105"/>
        </w:rPr>
        <w:t>Regulatory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design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delivery</w:t>
      </w:r>
    </w:p>
    <w:p>
      <w:pPr>
        <w:pStyle w:val="BodyText"/>
        <w:spacing w:line="278" w:lineRule="auto" w:before="75"/>
        <w:ind w:right="663"/>
      </w:pPr>
      <w:r>
        <w:rPr>
          <w:spacing w:val="-2"/>
          <w:w w:val="105"/>
        </w:rPr>
        <w:t>Internal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investigation management</w:t>
      </w:r>
    </w:p>
    <w:p>
      <w:pPr>
        <w:pStyle w:val="BodyText"/>
        <w:spacing w:before="90"/>
      </w:pPr>
      <w:r>
        <w:rPr/>
        <w:t>FINRA, SEC, and </w:t>
      </w:r>
      <w:r>
        <w:rPr>
          <w:spacing w:val="-5"/>
        </w:rPr>
        <w:t>FDA</w:t>
      </w:r>
    </w:p>
    <w:p>
      <w:pPr>
        <w:pStyle w:val="BodyText"/>
        <w:spacing w:before="18"/>
      </w:pPr>
      <w:r>
        <w:rPr>
          <w:w w:val="105"/>
        </w:rPr>
        <w:t>compliance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advisory</w:t>
      </w:r>
    </w:p>
    <w:p>
      <w:pPr>
        <w:pStyle w:val="BodyText"/>
        <w:spacing w:line="261" w:lineRule="auto" w:before="123"/>
      </w:pPr>
      <w:r>
        <w:rPr>
          <w:spacing w:val="-2"/>
          <w:w w:val="105"/>
        </w:rPr>
        <w:t>Cross-functional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stakeholder collaboration</w:t>
      </w:r>
    </w:p>
    <w:p>
      <w:pPr>
        <w:pStyle w:val="BodyText"/>
        <w:spacing w:line="278" w:lineRule="auto" w:before="103"/>
      </w:pPr>
      <w:r>
        <w:rPr>
          <w:spacing w:val="-2"/>
          <w:w w:val="105"/>
        </w:rPr>
        <w:t>Regulatory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examination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response </w:t>
      </w:r>
      <w:r>
        <w:rPr>
          <w:w w:val="105"/>
        </w:rPr>
        <w:t>and preparation</w:t>
      </w:r>
    </w:p>
    <w:p>
      <w:pPr>
        <w:pStyle w:val="BodyText"/>
        <w:spacing w:line="261" w:lineRule="auto" w:before="90"/>
      </w:pP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program</w:t>
      </w:r>
      <w:r>
        <w:rPr>
          <w:spacing w:val="-5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implementation</w:t>
      </w:r>
    </w:p>
    <w:p>
      <w:pPr>
        <w:pStyle w:val="BodyText"/>
        <w:spacing w:line="268" w:lineRule="auto" w:before="90"/>
        <w:ind w:left="901" w:right="569"/>
      </w:pPr>
      <w:r>
        <w:rPr/>
        <w:br w:type="column"/>
      </w:r>
      <w:r>
        <w:rPr>
          <w:w w:val="105"/>
        </w:rPr>
        <w:t>Conducted 30 enterprise-wide risk assessments across finance and healthcare divisions, identifying and remediating control gaps that</w:t>
      </w:r>
      <w:r>
        <w:rPr>
          <w:spacing w:val="40"/>
          <w:w w:val="105"/>
        </w:rPr>
        <w:t> </w:t>
      </w:r>
      <w:r>
        <w:rPr>
          <w:w w:val="105"/>
        </w:rPr>
        <w:t>reduced potential compliance violations by 45%</w:t>
      </w:r>
    </w:p>
    <w:p>
      <w:pPr>
        <w:pStyle w:val="BodyText"/>
        <w:spacing w:line="268" w:lineRule="auto" w:before="100"/>
        <w:ind w:left="901" w:right="97"/>
      </w:pPr>
      <w:r>
        <w:rPr>
          <w:w w:val="105"/>
        </w:rPr>
        <w:t>Drafted 50+ policies covering HIPAA, SOX, and anti-money-laundering requirements, achieving a 100% audit pass rate across 4 consecutive regulatory examinations</w:t>
      </w:r>
    </w:p>
    <w:p>
      <w:pPr>
        <w:pStyle w:val="BodyText"/>
        <w:spacing w:line="268" w:lineRule="auto" w:before="99"/>
        <w:ind w:left="901" w:right="97"/>
      </w:pPr>
      <w:r>
        <w:rPr>
          <w:w w:val="105"/>
        </w:rPr>
        <w:t>Delivered 20 compliance training sessions to 500+ employees, improving policy-acknowledgment and comprehension rates from 60% to 98% as measured by annual compliance testing</w:t>
      </w:r>
    </w:p>
    <w:p>
      <w:pPr>
        <w:pStyle w:val="BodyText"/>
        <w:spacing w:line="268" w:lineRule="auto" w:before="100"/>
        <w:ind w:left="901" w:right="97"/>
      </w:pPr>
      <w:r>
        <w:rPr>
          <w:w w:val="105"/>
        </w:rPr>
        <w:t>Managed 8 concurrent internal investigations into alleged employee misconduct, resolving all matters within 60 days and providing board-level</w:t>
      </w:r>
      <w:r>
        <w:rPr>
          <w:spacing w:val="40"/>
          <w:w w:val="105"/>
        </w:rPr>
        <w:t> </w:t>
      </w:r>
      <w:r>
        <w:rPr>
          <w:w w:val="105"/>
        </w:rPr>
        <w:t>reporting on each investigation outcome</w:t>
      </w:r>
    </w:p>
    <w:p>
      <w:pPr>
        <w:pStyle w:val="BodyText"/>
        <w:spacing w:line="268" w:lineRule="auto" w:before="99"/>
        <w:ind w:left="901" w:right="97"/>
      </w:pPr>
      <w:r>
        <w:rPr>
          <w:w w:val="105"/>
        </w:rPr>
        <w:t>Collaborated with external auditors and regulators during 3 formal examinations, coordinating document production and management responses to achieve no adverse findings</w:t>
      </w:r>
    </w:p>
    <w:p>
      <w:pPr>
        <w:pStyle w:val="BodyText"/>
        <w:spacing w:line="268" w:lineRule="auto" w:before="100"/>
        <w:ind w:left="901" w:right="97"/>
      </w:pPr>
      <w:r>
        <w:rPr>
          <w:w w:val="105"/>
        </w:rPr>
        <w:t>Developed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cross-functional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calendar</w:t>
      </w:r>
      <w:r>
        <w:rPr>
          <w:spacing w:val="40"/>
          <w:w w:val="105"/>
        </w:rPr>
        <w:t> </w:t>
      </w:r>
      <w:r>
        <w:rPr>
          <w:w w:val="105"/>
        </w:rPr>
        <w:t>adopted</w:t>
      </w:r>
      <w:r>
        <w:rPr>
          <w:spacing w:val="40"/>
          <w:w w:val="105"/>
        </w:rPr>
        <w:t> </w:t>
      </w:r>
      <w:r>
        <w:rPr>
          <w:w w:val="105"/>
        </w:rPr>
        <w:t>company-wide, reducing missed regulatory reporting deadlines by 100% in the first</w:t>
      </w:r>
      <w:r>
        <w:rPr>
          <w:spacing w:val="40"/>
          <w:w w:val="105"/>
        </w:rPr>
        <w:t> </w:t>
      </w:r>
      <w:r>
        <w:rPr>
          <w:w w:val="105"/>
        </w:rPr>
        <w:t>year of implementation</w:t>
      </w:r>
    </w:p>
    <w:p>
      <w:pPr>
        <w:pStyle w:val="BodyText"/>
        <w:spacing w:before="72"/>
        <w:ind w:left="0"/>
      </w:pPr>
    </w:p>
    <w:p>
      <w:pPr>
        <w:pStyle w:val="BodyText"/>
        <w:spacing w:line="261" w:lineRule="auto"/>
        <w:ind w:left="120" w:right="1432"/>
      </w:pPr>
      <w:r>
        <w:rPr>
          <w:color w:val="C24B8B"/>
          <w:w w:val="105"/>
        </w:rPr>
        <w:t>Associate, Regulatory Compliance </w:t>
      </w:r>
      <w:r>
        <w:rPr>
          <w:w w:val="105"/>
        </w:rPr>
        <w:t>| TrustLaw Partners | City, ST June 2016 - January 2019</w:t>
      </w:r>
    </w:p>
    <w:p>
      <w:pPr>
        <w:pStyle w:val="BodyText"/>
        <w:spacing w:line="268" w:lineRule="auto" w:before="194"/>
        <w:ind w:left="901" w:right="451"/>
        <w:jc w:val="both"/>
      </w:pPr>
      <w:r>
        <w:rPr>
          <w:w w:val="105"/>
        </w:rPr>
        <w:t>Advised 15 clients on FDA, FINRA, and SEC regulatory requirements, preventing $1M+ in potential fines through proactive compliance gap </w:t>
      </w:r>
      <w:r>
        <w:rPr>
          <w:spacing w:val="-2"/>
          <w:w w:val="105"/>
        </w:rPr>
        <w:t>remediation</w:t>
      </w:r>
    </w:p>
    <w:p>
      <w:pPr>
        <w:pStyle w:val="BodyText"/>
        <w:spacing w:line="268" w:lineRule="auto" w:before="100"/>
        <w:ind w:left="901" w:right="97"/>
      </w:pPr>
      <w:r>
        <w:rPr>
          <w:w w:val="105"/>
        </w:rPr>
        <w:t>Managed internal investigations into alleged misconduct for 10 corporate</w:t>
      </w:r>
      <w:r>
        <w:rPr>
          <w:spacing w:val="40"/>
          <w:w w:val="105"/>
        </w:rPr>
        <w:t> </w:t>
      </w:r>
      <w:r>
        <w:rPr>
          <w:w w:val="105"/>
        </w:rPr>
        <w:t>clients, resolving 85% of matters without regulatory referral or formal enforcement action</w:t>
      </w:r>
    </w:p>
    <w:p>
      <w:pPr>
        <w:pStyle w:val="BodyText"/>
        <w:spacing w:line="268" w:lineRule="auto" w:before="99"/>
        <w:ind w:left="901" w:right="97"/>
      </w:pPr>
      <w:r>
        <w:rPr>
          <w:w w:val="105"/>
        </w:rPr>
        <w:t>Drafted compliance policies and procedure manuals for 8 client</w:t>
      </w:r>
      <w:r>
        <w:rPr>
          <w:spacing w:val="40"/>
          <w:w w:val="105"/>
        </w:rPr>
        <w:t> </w:t>
      </w:r>
      <w:r>
        <w:rPr>
          <w:w w:val="105"/>
        </w:rPr>
        <w:t>organizations, conducting gap analyses against applicable regulatory</w:t>
      </w:r>
      <w:r>
        <w:rPr>
          <w:spacing w:val="40"/>
          <w:w w:val="105"/>
        </w:rPr>
        <w:t> </w:t>
      </w:r>
      <w:r>
        <w:rPr>
          <w:w w:val="105"/>
        </w:rPr>
        <w:t>frameworks before each deliverable</w:t>
      </w:r>
    </w:p>
    <w:p>
      <w:pPr>
        <w:pStyle w:val="BodyText"/>
        <w:spacing w:line="278" w:lineRule="auto" w:before="100"/>
        <w:ind w:left="901"/>
      </w:pPr>
      <w:r>
        <w:rPr>
          <w:w w:val="105"/>
        </w:rPr>
        <w:t>Prepared clients for 5 regulatory examinations, developing examination readiness</w:t>
      </w:r>
      <w:r>
        <w:rPr>
          <w:spacing w:val="26"/>
          <w:w w:val="105"/>
        </w:rPr>
        <w:t> </w:t>
      </w:r>
      <w:r>
        <w:rPr>
          <w:w w:val="105"/>
        </w:rPr>
        <w:t>checklists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coordinating</w:t>
      </w:r>
      <w:r>
        <w:rPr>
          <w:spacing w:val="26"/>
          <w:w w:val="105"/>
        </w:rPr>
        <w:t> </w:t>
      </w:r>
      <w:r>
        <w:rPr>
          <w:w w:val="105"/>
        </w:rPr>
        <w:t>mock</w:t>
      </w:r>
      <w:r>
        <w:rPr>
          <w:spacing w:val="26"/>
          <w:w w:val="105"/>
        </w:rPr>
        <w:t> </w:t>
      </w:r>
      <w:r>
        <w:rPr>
          <w:w w:val="105"/>
        </w:rPr>
        <w:t>interviews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key</w:t>
      </w:r>
      <w:r>
        <w:rPr>
          <w:spacing w:val="26"/>
          <w:w w:val="105"/>
        </w:rPr>
        <w:t> </w:t>
      </w:r>
      <w:r>
        <w:rPr>
          <w:w w:val="105"/>
        </w:rPr>
        <w:t>personnel</w:t>
      </w:r>
    </w:p>
    <w:sectPr>
      <w:type w:val="continuous"/>
      <w:pgSz w:w="11920" w:h="16860"/>
      <w:pgMar w:top="600" w:bottom="280" w:left="141" w:right="425"/>
      <w:cols w:num="2" w:equalWidth="0">
        <w:col w:w="3479" w:space="520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2026-03-19T15:24:03Z</dcterms:created>
  <dcterms:modified xsi:type="dcterms:W3CDTF">2026-03-19T15:24:03Z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