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-2"/>
          <w:sz w:val="74"/>
        </w:rPr>
        <w:t>Turner</w:t>
      </w:r>
    </w:p>
    <w:p>
      <w:pPr>
        <w:pStyle w:val="Heading2"/>
      </w:pPr>
      <w:r>
        <w:rPr>
          <w:color w:val="FFFFFF"/>
        </w:rPr>
        <w:t>Business</w:t>
      </w:r>
      <w:r>
        <w:rPr>
          <w:color w:val="FFFFFF"/>
          <w:spacing w:val="-6"/>
        </w:rPr>
        <w:t> </w:t>
      </w:r>
      <w:r>
        <w:rPr>
          <w:color w:val="FFFFFF"/>
        </w:rPr>
        <w:t>Account</w:t>
      </w:r>
      <w:r>
        <w:rPr>
          <w:color w:val="FFFFFF"/>
          <w:spacing w:val="3"/>
        </w:rPr>
        <w:t> </w:t>
      </w:r>
      <w:r>
        <w:rPr>
          <w:color w:val="FFFFFF"/>
        </w:rPr>
        <w:t>Manager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(Senior)</w:t>
      </w:r>
    </w:p>
    <w:p>
      <w:pPr>
        <w:spacing w:line="273" w:lineRule="auto" w:before="193"/>
        <w:ind w:left="448" w:right="687" w:firstLine="0"/>
        <w:jc w:val="both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7+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high-value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portfolios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growth in financial services. Grew annual revenue by 20%, increased upselling by 15%, and sustained a 95% client retention rate at Wells Fargo,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contributed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$5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Bank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 America.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MBA from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Colorado.</w:t>
      </w:r>
    </w:p>
    <w:p>
      <w:pPr>
        <w:spacing w:line="273" w:lineRule="auto" w:before="1"/>
        <w:ind w:left="448" w:right="612" w:firstLine="0"/>
        <w:jc w:val="both"/>
        <w:rPr>
          <w:sz w:val="16"/>
        </w:rPr>
      </w:pPr>
      <w:r>
        <w:rPr>
          <w:color w:val="FFFFFF"/>
          <w:w w:val="105"/>
          <w:sz w:val="16"/>
        </w:rPr>
        <w:t>Expertise in client relationship management, account planning, cross-selling strategy, and financial analysis for commercial banking </w:t>
      </w:r>
      <w:r>
        <w:rPr>
          <w:color w:val="FFFFFF"/>
          <w:spacing w:val="-2"/>
          <w:w w:val="105"/>
          <w:sz w:val="16"/>
        </w:rPr>
        <w:t>clients.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Heading1"/>
        <w:spacing w:before="1"/>
      </w:pPr>
      <w:r>
        <w:rPr>
          <w:smallCaps/>
          <w:color w:val="F5F5F5"/>
          <w:w w:val="95"/>
        </w:rPr>
        <w:t>Contact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53"/>
        <w:ind w:left="5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mallCaps/>
          <w:color w:val="BC936D"/>
          <w:spacing w:val="4"/>
          <w:w w:val="90"/>
          <w:sz w:val="28"/>
        </w:rPr>
        <w:t>Professional</w:t>
      </w:r>
      <w:r>
        <w:rPr>
          <w:b/>
          <w:smallCaps/>
          <w:color w:val="BC936D"/>
          <w:spacing w:val="55"/>
          <w:sz w:val="28"/>
        </w:rPr>
        <w:t> </w:t>
      </w:r>
      <w:r>
        <w:rPr>
          <w:b/>
          <w:smallCaps/>
          <w:color w:val="BC936D"/>
          <w:spacing w:val="-2"/>
          <w:w w:val="95"/>
          <w:sz w:val="28"/>
        </w:rPr>
        <w:t>Experience</w:t>
      </w:r>
    </w:p>
    <w:p>
      <w:pPr>
        <w:pStyle w:val="BodyText"/>
        <w:spacing w:before="40"/>
        <w:rPr>
          <w:b/>
          <w:sz w:val="20"/>
        </w:rPr>
      </w:pPr>
    </w:p>
    <w:p>
      <w:pPr>
        <w:pStyle w:val="BodyText"/>
        <w:spacing w:line="268" w:lineRule="auto"/>
        <w:ind w:left="170" w:right="2242"/>
      </w:pPr>
      <w:r>
        <w:rPr>
          <w:w w:val="105"/>
        </w:rPr>
        <w:t>Business</w:t>
      </w:r>
      <w:r>
        <w:rPr>
          <w:spacing w:val="-5"/>
          <w:w w:val="105"/>
        </w:rPr>
        <w:t> </w:t>
      </w:r>
      <w:r>
        <w:rPr>
          <w:w w:val="105"/>
        </w:rPr>
        <w:t>Account Manager </w:t>
      </w:r>
      <w:r>
        <w:rPr>
          <w:w w:val="105"/>
          <w:position w:val="2"/>
        </w:rPr>
        <w:t>| </w:t>
      </w:r>
      <w:r>
        <w:rPr>
          <w:w w:val="105"/>
        </w:rPr>
        <w:t>Wells Fargo | Denver, CO April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2678" w:space="1153"/>
            <w:col w:w="7381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609" w:lineRule="auto"/>
        <w:ind w:left="597" w:right="190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Denver, CO</w:t>
      </w:r>
    </w:p>
    <w:p>
      <w:pPr>
        <w:pStyle w:val="Heading1"/>
        <w:spacing w:before="130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30"/>
        <w:rPr>
          <w:b/>
          <w:sz w:val="20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spacing w:val="-5"/>
          <w:w w:val="105"/>
          <w:sz w:val="16"/>
        </w:rPr>
        <w:t>MBA</w:t>
      </w:r>
    </w:p>
    <w:p>
      <w:pPr>
        <w:spacing w:line="273" w:lineRule="auto" w:before="26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Colorado | Boulder, CO | May 2014</w:t>
      </w:r>
    </w:p>
    <w:p>
      <w:pPr>
        <w:pStyle w:val="BodyText"/>
        <w:spacing w:before="102"/>
        <w:rPr>
          <w:sz w:val="16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BS in Business Administration University of Denver | Denver, CO | May 2010</w:t>
      </w:r>
    </w:p>
    <w:p>
      <w:pPr>
        <w:pStyle w:val="BodyText"/>
        <w:rPr>
          <w:sz w:val="16"/>
        </w:rPr>
      </w:pPr>
    </w:p>
    <w:p>
      <w:pPr>
        <w:pStyle w:val="BodyText"/>
        <w:spacing w:before="30"/>
        <w:rPr>
          <w:sz w:val="16"/>
        </w:rPr>
      </w:pPr>
    </w:p>
    <w:p>
      <w:pPr>
        <w:pStyle w:val="Heading1"/>
        <w:spacing w:line="284" w:lineRule="exact"/>
      </w:pPr>
      <w:r>
        <w:rPr>
          <w:smallCaps/>
          <w:color w:val="F5F5F5"/>
        </w:rPr>
        <w:t>Key</w:t>
      </w:r>
      <w:r>
        <w:rPr>
          <w:smallCaps/>
          <w:color w:val="F5F5F5"/>
          <w:spacing w:val="-12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4" w:after="0"/>
        <w:ind w:left="355" w:right="22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$22 million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revenue,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</w:p>
    <w:p>
      <w:pPr>
        <w:pStyle w:val="BodyText"/>
        <w:spacing w:before="26"/>
        <w:ind w:left="355"/>
      </w:pPr>
      <w:r>
        <w:rPr>
          <w:w w:val="105"/>
        </w:rPr>
        <w:t>targeted</w:t>
      </w:r>
      <w:r>
        <w:rPr>
          <w:spacing w:val="28"/>
          <w:w w:val="105"/>
        </w:rPr>
        <w:t> </w:t>
      </w:r>
      <w:r>
        <w:rPr>
          <w:w w:val="105"/>
        </w:rPr>
        <w:t>upselling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relationship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deepening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9" w:after="0"/>
        <w:ind w:left="355" w:right="66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account-level growth strategies for top 20 clients, boosting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upselling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opportunities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$3.3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incremental</w:t>
      </w:r>
    </w:p>
    <w:p>
      <w:pPr>
        <w:pStyle w:val="BodyText"/>
        <w:spacing w:before="25"/>
        <w:ind w:left="355"/>
      </w:pPr>
      <w:r>
        <w:rPr>
          <w:w w:val="105"/>
        </w:rPr>
        <w:t>revenue</w:t>
      </w:r>
      <w:r>
        <w:rPr>
          <w:spacing w:val="7"/>
          <w:w w:val="105"/>
        </w:rPr>
        <w:t> </w:t>
      </w:r>
      <w:r>
        <w:rPr>
          <w:w w:val="105"/>
        </w:rPr>
        <w:t>over</w:t>
      </w:r>
      <w:r>
        <w:rPr>
          <w:spacing w:val="7"/>
          <w:w w:val="105"/>
        </w:rPr>
        <w:t> </w:t>
      </w:r>
      <w:r>
        <w:rPr>
          <w:w w:val="105"/>
        </w:rPr>
        <w:t>2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2" w:after="0"/>
        <w:ind w:left="355" w:right="8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a 95% client retention rate through structured quarterly business reviews, early renewal outreach, and same-week issue resolution for 100% of</w:t>
      </w:r>
    </w:p>
    <w:p>
      <w:pPr>
        <w:pStyle w:val="BodyText"/>
        <w:spacing w:before="41"/>
        <w:ind w:left="355"/>
      </w:pPr>
      <w:r>
        <w:rPr>
          <w:w w:val="105"/>
        </w:rPr>
        <w:t>escalated</w:t>
      </w:r>
      <w:r>
        <w:rPr>
          <w:spacing w:val="27"/>
          <w:w w:val="105"/>
        </w:rPr>
        <w:t> </w:t>
      </w:r>
      <w:r>
        <w:rPr>
          <w:w w:val="105"/>
        </w:rPr>
        <w:t>client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concerns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2" w:after="0"/>
        <w:ind w:left="355" w:right="50" w:hanging="298"/>
        <w:jc w:val="left"/>
        <w:rPr>
          <w:position w:val="-4"/>
          <w:sz w:val="31"/>
        </w:rPr>
      </w:pPr>
      <w:r>
        <w:rPr>
          <w:w w:val="105"/>
          <w:sz w:val="18"/>
        </w:rPr>
        <w:t>Identified and closed 15+ cross-sell opportunities per quarter by analyzing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transaction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aligning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additional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products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business</w:t>
      </w:r>
    </w:p>
    <w:p>
      <w:pPr>
        <w:pStyle w:val="BodyText"/>
        <w:spacing w:before="41"/>
        <w:ind w:left="355"/>
      </w:pPr>
      <w:r>
        <w:rPr>
          <w:spacing w:val="-2"/>
          <w:w w:val="105"/>
        </w:rPr>
        <w:t>needs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2" w:after="0"/>
        <w:ind w:left="355" w:right="21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Delivered monthly portfolio performance reports to regional VP, consistently exceeding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12% over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8" w:lineRule="auto" w:before="82" w:after="0"/>
        <w:ind w:left="355" w:right="414" w:hanging="298"/>
        <w:jc w:val="left"/>
        <w:rPr>
          <w:position w:val="-3"/>
          <w:sz w:val="31"/>
        </w:rPr>
      </w:pPr>
      <w:r>
        <w:rPr>
          <w:w w:val="105"/>
          <w:sz w:val="18"/>
        </w:rPr>
        <w:t>Trained 2 junior account managers on consultative selling and CRM management,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quota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quarter</w:t>
      </w:r>
    </w:p>
    <w:p>
      <w:pPr>
        <w:pStyle w:val="ListParagraph"/>
        <w:spacing w:after="0" w:line="208" w:lineRule="auto"/>
        <w:jc w:val="left"/>
        <w:rPr>
          <w:position w:val="-3"/>
          <w:sz w:val="31"/>
        </w:rPr>
        <w:sectPr>
          <w:type w:val="continuous"/>
          <w:pgSz w:w="11920" w:h="16860"/>
          <w:pgMar w:top="820" w:bottom="280" w:left="425" w:right="283"/>
          <w:cols w:num="2" w:equalWidth="0">
            <w:col w:w="3079" w:space="1032"/>
            <w:col w:w="7101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10067924"/>
                            <a:ext cx="2266950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8175">
                                <a:moveTo>
                                  <a:pt x="0" y="638174"/>
                                </a:moveTo>
                                <a:lnTo>
                                  <a:pt x="2266949" y="6381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86050">
                                <a:moveTo>
                                  <a:pt x="7568183" y="2686049"/>
                                </a:moveTo>
                                <a:lnTo>
                                  <a:pt x="0" y="2686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86049"/>
                            <a:ext cx="2266950" cy="738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381875">
                                <a:moveTo>
                                  <a:pt x="2266950" y="3962400"/>
                                </a:moveTo>
                                <a:lnTo>
                                  <a:pt x="0" y="3962400"/>
                                </a:lnTo>
                                <a:lnTo>
                                  <a:pt x="0" y="7381875"/>
                                </a:lnTo>
                                <a:lnTo>
                                  <a:pt x="2266950" y="7381875"/>
                                </a:lnTo>
                                <a:lnTo>
                                  <a:pt x="2266950" y="3962400"/>
                                </a:lnTo>
                                <a:close/>
                              </a:path>
                              <a:path w="2266950" h="7381875">
                                <a:moveTo>
                                  <a:pt x="2266950" y="2295525"/>
                                </a:moveTo>
                                <a:lnTo>
                                  <a:pt x="0" y="2295525"/>
                                </a:lnTo>
                                <a:lnTo>
                                  <a:pt x="0" y="3590925"/>
                                </a:lnTo>
                                <a:lnTo>
                                  <a:pt x="2266950" y="3590925"/>
                                </a:lnTo>
                                <a:lnTo>
                                  <a:pt x="2266950" y="2295525"/>
                                </a:lnTo>
                                <a:close/>
                              </a:path>
                              <a:path w="2266950" h="7381875">
                                <a:moveTo>
                                  <a:pt x="2266950" y="771525"/>
                                </a:moveTo>
                                <a:lnTo>
                                  <a:pt x="0" y="771525"/>
                                </a:lnTo>
                                <a:lnTo>
                                  <a:pt x="0" y="1924050"/>
                                </a:lnTo>
                                <a:lnTo>
                                  <a:pt x="2266950" y="1924050"/>
                                </a:lnTo>
                                <a:lnTo>
                                  <a:pt x="2266950" y="771525"/>
                                </a:lnTo>
                                <a:close/>
                              </a:path>
                              <a:path w="2266950" h="73818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860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453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5909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052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6100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77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276974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446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6496" id="docshapegroup1" coordorigin="0,0" coordsize="11919,16860">
                <v:rect style="position:absolute;left:255;top:15855;width:3570;height:1005" id="docshape2" filled="true" fillcolor="#bc936d" stroked="false">
                  <v:fill opacity="32899f" type="solid"/>
                </v:rect>
                <v:rect style="position:absolute;left:0;top:0;width:11919;height:4230" id="docshape3" filled="true" fillcolor="#424242" stroked="false">
                  <v:fill type="solid"/>
                </v:rect>
                <v:shape style="position:absolute;left:254;top:4230;width:3570;height:11625" id="docshape4" coordorigin="255,4230" coordsize="3570,11625" path="m3825,10470l255,10470,255,15855,3825,15855,3825,10470xm3825,7845l255,7845,255,9885,3825,9885,3825,7845xm3825,5445l255,5445,255,7260,3825,7260,3825,5445xm3825,4230l255,4230,255,4860,3825,4860,3825,4230xe" filled="true" fillcolor="#bc936d" stroked="false">
                  <v:path arrowok="t"/>
                  <v:fill opacity="32899f" type="solid"/>
                </v:shape>
                <v:rect style="position:absolute;left:0;top:4860;width:4020;height:585" id="docshape5" filled="true" fillcolor="#bc936d" stroked="false">
                  <v:fill type="solid"/>
                </v:rect>
                <v:shape style="position:absolute;left:3825;top:5438;width:197;height:404" type="#_x0000_t75" id="docshape6" stroked="false">
                  <v:imagedata r:id="rId6" o:title=""/>
                </v:shape>
                <v:shape style="position:absolute;left:600;top:5655;width:255;height:255" type="#_x0000_t75" id="docshape7" stroked="false">
                  <v:imagedata r:id="rId7" o:title=""/>
                </v:shape>
                <v:shape style="position:absolute;left:600;top:6150;width:255;height:300" type="#_x0000_t75" id="docshape8" stroked="false">
                  <v:imagedata r:id="rId8" o:title=""/>
                </v:shape>
                <v:shape style="position:absolute;left:600;top:6690;width:255;height:263" type="#_x0000_t75" id="docshape9" stroked="false">
                  <v:imagedata r:id="rId9" o:title=""/>
                </v:shape>
                <v:rect style="position:absolute;left:0;top:7260;width:4020;height:585" id="docshape10" filled="true" fillcolor="#bc936d" stroked="false">
                  <v:fill type="solid"/>
                </v:rect>
                <v:shape style="position:absolute;left:3825;top:7838;width:197;height:404" type="#_x0000_t75" id="docshape11" stroked="false">
                  <v:imagedata r:id="rId6" o:title=""/>
                </v:shape>
                <v:rect style="position:absolute;left:0;top:9885;width:4020;height:585" id="docshape12" filled="true" fillcolor="#bc936d" stroked="false">
                  <v:fill type="solid"/>
                </v:rect>
                <v:shape style="position:absolute;left:3825;top:10464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227" w:hanging="298"/>
        <w:jc w:val="left"/>
        <w:rPr>
          <w:sz w:val="16"/>
        </w:rPr>
      </w:pPr>
      <w:r>
        <w:rPr>
          <w:color w:val="424242"/>
          <w:w w:val="105"/>
          <w:sz w:val="16"/>
        </w:rPr>
        <w:t>Client relationship management and retention strategy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405" w:hanging="298"/>
        <w:jc w:val="left"/>
        <w:rPr>
          <w:sz w:val="16"/>
        </w:rPr>
      </w:pPr>
      <w:r>
        <w:rPr>
          <w:color w:val="424242"/>
          <w:w w:val="105"/>
          <w:sz w:val="16"/>
        </w:rPr>
        <w:t>Revenue growth strategy and portfolio expansion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4" w:after="0"/>
        <w:ind w:left="467" w:right="38" w:hanging="298"/>
        <w:jc w:val="left"/>
        <w:rPr>
          <w:sz w:val="16"/>
        </w:rPr>
      </w:pPr>
      <w:r>
        <w:rPr>
          <w:color w:val="424242"/>
          <w:w w:val="105"/>
          <w:sz w:val="16"/>
        </w:rPr>
        <w:t>Upselling and cross-selling across banking product lines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292" w:hanging="298"/>
        <w:jc w:val="left"/>
        <w:rPr>
          <w:sz w:val="16"/>
        </w:rPr>
      </w:pPr>
      <w:r>
        <w:rPr>
          <w:color w:val="424242"/>
          <w:w w:val="105"/>
          <w:sz w:val="16"/>
        </w:rPr>
        <w:t>Account planning and strategic client reviews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36" w:hanging="298"/>
        <w:jc w:val="left"/>
        <w:rPr>
          <w:sz w:val="16"/>
        </w:rPr>
      </w:pPr>
      <w:r>
        <w:rPr>
          <w:color w:val="424242"/>
          <w:w w:val="105"/>
          <w:sz w:val="16"/>
        </w:rPr>
        <w:t>Financial analysis and tailored client solutions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237" w:hanging="298"/>
        <w:jc w:val="left"/>
        <w:rPr>
          <w:sz w:val="16"/>
        </w:rPr>
      </w:pPr>
      <w:r>
        <w:rPr>
          <w:color w:val="424242"/>
          <w:w w:val="105"/>
          <w:sz w:val="16"/>
        </w:rPr>
        <w:t>CRM management and pipeline reporting (Salesforce)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18" w:hanging="298"/>
        <w:jc w:val="left"/>
        <w:rPr>
          <w:sz w:val="16"/>
        </w:rPr>
      </w:pPr>
      <w:r>
        <w:rPr>
          <w:color w:val="424242"/>
          <w:w w:val="105"/>
          <w:sz w:val="16"/>
        </w:rPr>
        <w:t>Contract negotiation and renewal cycle management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196" w:hanging="298"/>
        <w:jc w:val="left"/>
        <w:rPr>
          <w:sz w:val="16"/>
        </w:rPr>
      </w:pPr>
      <w:r>
        <w:rPr>
          <w:color w:val="424242"/>
          <w:w w:val="105"/>
          <w:sz w:val="16"/>
        </w:rPr>
        <w:t>Client satisfaction measurement and NPS improvement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4" w:after="0"/>
        <w:ind w:left="467" w:right="464" w:hanging="298"/>
        <w:jc w:val="left"/>
        <w:rPr>
          <w:sz w:val="16"/>
        </w:rPr>
      </w:pPr>
      <w:r>
        <w:rPr>
          <w:color w:val="424242"/>
          <w:w w:val="105"/>
          <w:sz w:val="16"/>
        </w:rPr>
        <w:t>Commercial banking product knowledge and advisory</w:t>
      </w:r>
    </w:p>
    <w:p>
      <w:pPr>
        <w:pStyle w:val="BodyText"/>
        <w:spacing w:line="205" w:lineRule="exact"/>
        <w:ind w:left="281"/>
      </w:pPr>
      <w:r>
        <w:rPr/>
        <w:br w:type="column"/>
      </w:r>
      <w:r>
        <w:rPr>
          <w:w w:val="105"/>
        </w:rPr>
        <w:t>Account</w:t>
      </w:r>
      <w:r>
        <w:rPr>
          <w:spacing w:val="7"/>
          <w:w w:val="105"/>
        </w:rPr>
        <w:t> </w:t>
      </w:r>
      <w:r>
        <w:rPr>
          <w:w w:val="105"/>
        </w:rPr>
        <w:t>Executive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Bank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America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Denver,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4"/>
        <w:ind w:left="281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4" w:lineRule="auto" w:before="115" w:after="0"/>
        <w:ind w:left="746" w:right="190" w:hanging="298"/>
        <w:jc w:val="left"/>
        <w:rPr>
          <w:position w:val="-2"/>
          <w:sz w:val="31"/>
        </w:rPr>
      </w:pPr>
      <w:r>
        <w:rPr>
          <w:w w:val="105"/>
          <w:sz w:val="18"/>
        </w:rPr>
        <w:t>Coordinated account planning and conducted quarterly client meetings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70+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opportunities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$5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million</w:t>
      </w:r>
    </w:p>
    <w:p>
      <w:pPr>
        <w:pStyle w:val="BodyText"/>
        <w:spacing w:before="39"/>
        <w:ind w:left="746"/>
      </w:pP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w w:val="105"/>
        </w:rPr>
        <w:t>revenue</w:t>
      </w:r>
      <w:r>
        <w:rPr>
          <w:spacing w:val="9"/>
          <w:w w:val="105"/>
        </w:rPr>
        <w:t> </w:t>
      </w:r>
      <w:r>
        <w:rPr>
          <w:w w:val="105"/>
        </w:rPr>
        <w:t>across</w:t>
      </w:r>
      <w:r>
        <w:rPr>
          <w:spacing w:val="8"/>
          <w:w w:val="105"/>
        </w:rPr>
        <w:t> </w:t>
      </w:r>
      <w:r>
        <w:rPr>
          <w:w w:val="105"/>
        </w:rPr>
        <w:t>7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75" w:after="0"/>
        <w:ind w:left="746" w:right="258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financial analysis and tailored advisory services across 4 product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categories,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measured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0"/>
        <w:ind w:left="746"/>
      </w:pPr>
      <w:r>
        <w:rPr>
          <w:w w:val="105"/>
        </w:rPr>
        <w:t>annual</w:t>
      </w:r>
      <w:r>
        <w:rPr>
          <w:spacing w:val="19"/>
          <w:w w:val="105"/>
        </w:rPr>
        <w:t> </w:t>
      </w:r>
      <w:r>
        <w:rPr>
          <w:w w:val="105"/>
        </w:rPr>
        <w:t>relationship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75" w:after="0"/>
        <w:ind w:left="746" w:right="21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Contributed to 3 marketing strategy initiatives that expanded client portfolio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18%,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Denver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surrounding</w:t>
      </w:r>
    </w:p>
    <w:p>
      <w:pPr>
        <w:pStyle w:val="BodyText"/>
        <w:spacing w:before="25"/>
        <w:ind w:left="746"/>
      </w:pPr>
      <w:r>
        <w:rPr>
          <w:spacing w:val="-2"/>
          <w:w w:val="105"/>
        </w:rPr>
        <w:t>markets</w:t>
      </w:r>
    </w:p>
    <w:p>
      <w:pPr>
        <w:pStyle w:val="BodyText"/>
        <w:spacing w:before="47"/>
      </w:pPr>
    </w:p>
    <w:p>
      <w:pPr>
        <w:pStyle w:val="Heading1"/>
        <w:ind w:left="170"/>
      </w:pPr>
      <w:r>
        <w:rPr>
          <w:smallCaps/>
          <w:color w:val="BC936D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240" w:lineRule="auto" w:before="195" w:after="0"/>
        <w:ind w:left="57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(CBAM)</w:t>
      </w:r>
    </w:p>
    <w:sectPr>
      <w:type w:val="continuous"/>
      <w:pgSz w:w="11920" w:h="16860"/>
      <w:pgMar w:top="820" w:bottom="280" w:left="425" w:right="283"/>
      <w:cols w:num="2" w:equalWidth="0">
        <w:col w:w="3148" w:space="572"/>
        <w:col w:w="74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4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2026-03-23T15:10:49Z</dcterms:created>
  <dcterms:modified xsi:type="dcterms:W3CDTF">2026-03-23T15:10:49Z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