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853" w:right="0" w:firstLine="0"/>
        <w:jc w:val="center"/>
        <w:rPr>
          <w:rFonts w:ascii="Microsoft Sans Serif"/>
          <w:sz w:val="82"/>
        </w:rPr>
      </w:pPr>
      <w:r>
        <w:rPr>
          <w:rFonts w:ascii="Microsoft Sans Serif"/>
          <w:color w:val="0C0C0C"/>
          <w:spacing w:val="11"/>
          <w:sz w:val="82"/>
        </w:rPr>
        <w:t>Jamie</w:t>
      </w:r>
      <w:r>
        <w:rPr>
          <w:rFonts w:ascii="Microsoft Sans Serif"/>
          <w:color w:val="0C0C0C"/>
          <w:spacing w:val="4"/>
          <w:sz w:val="82"/>
        </w:rPr>
        <w:t> </w:t>
      </w:r>
      <w:r>
        <w:rPr>
          <w:rFonts w:ascii="Microsoft Sans Serif"/>
          <w:color w:val="0C0C0C"/>
          <w:spacing w:val="9"/>
          <w:sz w:val="82"/>
        </w:rPr>
        <w:t>Wilson</w:t>
      </w:r>
    </w:p>
    <w:p>
      <w:pPr>
        <w:pStyle w:val="Heading2"/>
      </w:pPr>
      <w:r>
        <w:rPr/>
        <w:t>Regional</w:t>
      </w:r>
      <w:r>
        <w:rPr>
          <w:spacing w:val="12"/>
        </w:rPr>
        <w:t> </w:t>
      </w:r>
      <w:r>
        <w:rPr/>
        <w:t>Budget</w:t>
      </w:r>
      <w:r>
        <w:rPr>
          <w:spacing w:val="12"/>
        </w:rPr>
        <w:t> </w:t>
      </w:r>
      <w:r>
        <w:rPr>
          <w:spacing w:val="-2"/>
        </w:rPr>
        <w:t>Analyst</w:t>
      </w:r>
    </w:p>
    <w:p>
      <w:pPr>
        <w:spacing w:line="273" w:lineRule="auto" w:before="155"/>
        <w:ind w:left="4254" w:right="145" w:hanging="1"/>
        <w:jc w:val="center"/>
        <w:rPr>
          <w:sz w:val="16"/>
        </w:rPr>
      </w:pPr>
      <w:r>
        <w:rPr>
          <w:w w:val="105"/>
          <w:sz w:val="16"/>
        </w:rPr>
        <w:t>Finance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8+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multi-location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regional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 budget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development,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forecasting,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expenditure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tracking.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 12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Midwest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facilities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totaling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$95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NorthStar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Logistics,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cycle time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rolling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forecast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implementation,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identified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$1.5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 regional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logistics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savings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Central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Distribution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Group.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cross-site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budgeting, forecast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consolidation,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location-based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standardizing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processes across diverse geographic operations.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97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425"/>
        </w:sectPr>
      </w:pPr>
    </w:p>
    <w:p>
      <w:pPr>
        <w:pStyle w:val="BodyText"/>
        <w:spacing w:before="272"/>
        <w:ind w:left="0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2A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724150">
                                <a:moveTo>
                                  <a:pt x="0" y="2724149"/>
                                </a:moveTo>
                                <a:lnTo>
                                  <a:pt x="5091683" y="272414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2A2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724150">
                                <a:moveTo>
                                  <a:pt x="2476499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724150">
                                <a:moveTo>
                                  <a:pt x="2476499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2A2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990685"/>
                            <a:ext cx="2286000" cy="882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8820150">
                                <a:moveTo>
                                  <a:pt x="2285999" y="8820063"/>
                                </a:moveTo>
                                <a:lnTo>
                                  <a:pt x="0" y="88200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57027" y="0"/>
                                </a:lnTo>
                                <a:lnTo>
                                  <a:pt x="1185069" y="688"/>
                                </a:lnTo>
                                <a:lnTo>
                                  <a:pt x="1241065" y="4128"/>
                                </a:lnTo>
                                <a:lnTo>
                                  <a:pt x="1296824" y="10312"/>
                                </a:lnTo>
                                <a:lnTo>
                                  <a:pt x="1352213" y="19224"/>
                                </a:lnTo>
                                <a:lnTo>
                                  <a:pt x="1407098" y="30843"/>
                                </a:lnTo>
                                <a:lnTo>
                                  <a:pt x="1461346" y="45141"/>
                                </a:lnTo>
                                <a:lnTo>
                                  <a:pt x="1514828" y="62084"/>
                                </a:lnTo>
                                <a:lnTo>
                                  <a:pt x="1567414" y="81630"/>
                                </a:lnTo>
                                <a:lnTo>
                                  <a:pt x="1618977" y="103734"/>
                                </a:lnTo>
                                <a:lnTo>
                                  <a:pt x="1669394" y="128341"/>
                                </a:lnTo>
                                <a:lnTo>
                                  <a:pt x="1718543" y="155392"/>
                                </a:lnTo>
                                <a:lnTo>
                                  <a:pt x="1766305" y="184822"/>
                                </a:lnTo>
                                <a:lnTo>
                                  <a:pt x="1812565" y="216560"/>
                                </a:lnTo>
                                <a:lnTo>
                                  <a:pt x="1857213" y="250530"/>
                                </a:lnTo>
                                <a:lnTo>
                                  <a:pt x="1900140" y="286650"/>
                                </a:lnTo>
                                <a:lnTo>
                                  <a:pt x="1941242" y="324832"/>
                                </a:lnTo>
                                <a:lnTo>
                                  <a:pt x="1980422" y="364986"/>
                                </a:lnTo>
                                <a:lnTo>
                                  <a:pt x="2017585" y="407013"/>
                                </a:lnTo>
                                <a:lnTo>
                                  <a:pt x="2052640" y="450813"/>
                                </a:lnTo>
                                <a:lnTo>
                                  <a:pt x="2085504" y="496281"/>
                                </a:lnTo>
                                <a:lnTo>
                                  <a:pt x="2116098" y="543306"/>
                                </a:lnTo>
                                <a:lnTo>
                                  <a:pt x="2144347" y="591776"/>
                                </a:lnTo>
                                <a:lnTo>
                                  <a:pt x="2170184" y="641574"/>
                                </a:lnTo>
                                <a:lnTo>
                                  <a:pt x="2193546" y="692579"/>
                                </a:lnTo>
                                <a:lnTo>
                                  <a:pt x="2214377" y="744670"/>
                                </a:lnTo>
                                <a:lnTo>
                                  <a:pt x="2232628" y="797719"/>
                                </a:lnTo>
                                <a:lnTo>
                                  <a:pt x="2248253" y="851601"/>
                                </a:lnTo>
                                <a:lnTo>
                                  <a:pt x="2261216" y="906184"/>
                                </a:lnTo>
                                <a:lnTo>
                                  <a:pt x="2271485" y="961337"/>
                                </a:lnTo>
                                <a:lnTo>
                                  <a:pt x="2279035" y="1016928"/>
                                </a:lnTo>
                                <a:lnTo>
                                  <a:pt x="2283848" y="1072823"/>
                                </a:lnTo>
                                <a:lnTo>
                                  <a:pt x="2285913" y="1128886"/>
                                </a:lnTo>
                                <a:lnTo>
                                  <a:pt x="2285999" y="8820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2A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114776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4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7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1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6"/>
                                </a:lnTo>
                                <a:lnTo>
                                  <a:pt x="1951697" y="1403345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2"/>
                                </a:lnTo>
                                <a:lnTo>
                                  <a:pt x="1493232" y="1909185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6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6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0"/>
                                </a:lnTo>
                                <a:lnTo>
                                  <a:pt x="77126" y="1403345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120649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7242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4038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3759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6767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581649"/>
                            <a:ext cx="47625" cy="288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86075">
                                <a:moveTo>
                                  <a:pt x="47625" y="2858922"/>
                                </a:moveTo>
                                <a:lnTo>
                                  <a:pt x="27165" y="2838450"/>
                                </a:lnTo>
                                <a:lnTo>
                                  <a:pt x="20472" y="2838450"/>
                                </a:lnTo>
                                <a:lnTo>
                                  <a:pt x="0" y="2858922"/>
                                </a:lnTo>
                                <a:lnTo>
                                  <a:pt x="0" y="2862491"/>
                                </a:lnTo>
                                <a:lnTo>
                                  <a:pt x="0" y="2865615"/>
                                </a:lnTo>
                                <a:lnTo>
                                  <a:pt x="20472" y="2886075"/>
                                </a:lnTo>
                                <a:lnTo>
                                  <a:pt x="27165" y="2886075"/>
                                </a:lnTo>
                                <a:lnTo>
                                  <a:pt x="47625" y="2865615"/>
                                </a:lnTo>
                                <a:lnTo>
                                  <a:pt x="47625" y="285892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496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8f2a2a" stroked="false">
                  <v:path arrowok="t"/>
                  <v:fill type="solid"/>
                </v:shape>
                <v:rect style="position:absolute;left:3900;top:0;width:8019;height:4290" id="docshape3" filled="true" fillcolor="#8f2a2a" stroked="false">
                  <v:fill opacity="32899f" type="solid"/>
                </v:rect>
                <v:rect style="position:absolute;left:0;top:0;width:3900;height:4290" id="docshape4" filled="true" fillcolor="#ffffff" stroked="false">
                  <v:fill type="solid"/>
                </v:rect>
                <v:rect style="position:absolute;left:0;top:0;width:3900;height:4290" id="docshape5" filled="true" fillcolor="#8f2a2a" stroked="false">
                  <v:fill opacity="32899f" type="solid"/>
                </v:rect>
                <v:shape style="position:absolute;left:120;top:1560;width:3600;height:13890" id="docshape6" coordorigin="120,1560" coordsize="3600,13890" path="m3720,15450l120,15450,120,3338,123,3250,131,3162,143,3074,159,2987,179,2901,204,2816,233,2733,266,2651,302,2570,343,2492,388,2416,436,2342,487,2270,543,2201,601,2135,663,2072,728,2012,795,1955,866,1901,938,1851,1014,1805,1091,1762,1170,1723,1252,1689,1334,1658,1419,1631,1504,1609,1591,1590,1678,1576,1766,1567,1854,1561,1942,1560,1986,1561,2074,1567,2162,1576,2249,1590,2336,1609,2421,1631,2506,1658,2588,1689,2670,1723,2749,1762,2826,1805,2902,1851,2974,1901,3045,1955,3112,2012,3177,2072,3239,2135,3297,2201,3353,2270,3404,2342,3452,2416,3497,2492,3538,2570,3574,2651,3607,2733,3636,2816,3661,2901,3681,2987,3697,3074,3709,3162,3717,3250,3720,3338,3720,15450xe" filled="true" fillcolor="#8f2a2a" stroked="false">
                  <v:path arrowok="t"/>
                  <v:fill type="solid"/>
                </v:shape>
                <v:shape style="position:absolute;left:322;top:1807;width:3195;height:3195" id="docshape7" coordorigin="322,1807" coordsize="3195,3195" path="m322,3407l322,3403,323,3384,326,3305,332,3227,343,3150,357,3073,375,2996,397,2921,422,2847,452,2774,484,2703,520,2634,560,2566,602,2500,648,2437,697,2376,749,2317,804,2261,861,2208,921,2157,983,2110,1048,2066,1115,2025,1183,1987,1254,1952,1326,1922,1399,1894,1474,1871,1549,1851,1626,1834,1703,1822,1781,1813,1859,1809,1918,1807,1922,1807,2000,1809,2078,1815,2156,1825,2233,1838,2310,1855,2385,1876,2459,1901,2532,1929,2604,1961,2674,1996,2742,2035,2808,2076,2872,2122,2934,2170,2993,2221,3050,2275,3104,2332,3155,2391,3203,2453,3249,2517,3290,2583,3329,2651,3364,2721,3396,2793,3424,2866,3449,2940,3470,3015,3487,3092,3500,3169,3510,3247,3516,3325,3517,3403,3517,3407,3516,3485,3510,3563,3500,3641,3487,3718,3470,3795,3449,3870,3424,3944,3396,4017,3364,4089,3329,4159,3290,4227,3249,4293,3203,4357,3155,4419,3104,4478,3050,4535,2993,4589,2934,4640,2872,4688,2808,4734,2742,4775,2674,4814,2604,4849,2532,4881,2459,4909,2385,4934,2310,4955,2233,4972,2156,4985,2078,4995,2000,5001,1922,5002,1918,5002,1840,5001,1762,4995,1684,4985,1607,4972,1530,4955,1455,4934,1381,4909,1308,4881,1236,4849,1166,4814,1098,4775,1032,4734,968,4688,906,4640,847,4589,790,4535,736,4478,685,4419,637,4357,591,4293,550,4227,511,4159,476,4089,444,4017,416,3944,391,3870,370,3795,353,3718,340,3641,330,3563,324,3485,322,3407xe" filled="false" stroked="true" strokeweight="2.25pt" strokecolor="#ffffff">
                  <v:path arrowok="t"/>
                  <v:stroke dashstyle="solid"/>
                </v:shape>
                <v:shape style="position:absolute;left:405;top:1900;width:3030;height:3020" type="#_x0000_t75" id="docshape8" stroked="false">
                  <v:imagedata r:id="rId5" o:title=""/>
                </v:shape>
                <v:shape style="position:absolute;left:630;top:5865;width:317;height:317" type="#_x0000_t75" id="docshape9" stroked="false">
                  <v:imagedata r:id="rId6" o:title=""/>
                </v:shape>
                <v:shape style="position:absolute;left:650;top:6360;width:275;height:317" type="#_x0000_t75" id="docshape10" stroked="false">
                  <v:imagedata r:id="rId7" o:title=""/>
                </v:shape>
                <v:shape style="position:absolute;left:630;top:6891;width:317;height:274" type="#_x0000_t75" id="docshape11" stroked="false">
                  <v:imagedata r:id="rId8" o:title=""/>
                </v:shape>
                <v:shape style="position:absolute;left:631;top:7365;width:315;height:317" type="#_x0000_t75" id="docshape12" stroked="false">
                  <v:imagedata r:id="rId9" o:title=""/>
                </v:shape>
                <v:shape style="position:absolute;left:629;top:8790;width:75;height:4545" id="docshape13" coordorigin="630,8790" coordsize="75,4545" path="m705,13292l704,13287,700,13278,698,13274,691,13267,687,13265,678,13261,673,13260,662,13260,657,13261,648,13265,644,13267,637,13274,635,13278,631,13287,630,13292,630,13298,630,13303,631,13308,635,13317,637,13321,644,13328,648,13330,657,13334,662,13335,673,13335,678,13334,687,13330,691,13328,698,13321,700,13317,704,13308,705,13303,705,13292xm705,12737l704,12732,700,12723,698,12719,691,12712,687,12710,678,12706,673,12705,662,12705,657,12706,648,12710,644,12712,637,12719,635,12723,631,12732,630,12737,630,12743,630,12748,631,12753,635,12762,637,12766,644,12773,648,12775,657,12779,662,12780,673,12780,678,12779,687,12775,691,12773,698,12766,700,12762,704,12753,705,12748,705,12737xm705,12182l704,12177,700,12168,698,12164,691,12157,687,12155,678,12151,673,12150,662,12150,657,12151,648,12155,644,12157,637,12164,635,12168,631,12177,630,12182,630,12188,630,12193,631,12198,635,12207,637,12211,644,12218,648,12220,657,12224,662,12225,673,12225,678,12224,687,12220,691,12218,698,12211,700,12207,704,12198,705,12193,705,12182xm705,11612l704,11607,700,11598,698,11594,691,11587,687,11585,678,11581,673,11580,662,11580,657,11581,648,11585,644,11587,637,11594,635,11598,631,11607,630,11612,630,11618,630,11623,631,11628,635,11637,637,11641,644,11648,648,11650,657,11654,662,11655,673,11655,678,11654,687,11650,691,11648,698,11641,700,11637,704,11628,705,11623,705,11612xm705,11057l704,11052,700,11043,698,11039,691,11032,687,11030,678,11026,673,11025,662,11025,657,11026,648,11030,644,11032,637,11039,635,11043,631,11052,630,11057,630,11063,630,11068,631,11073,635,11082,637,11086,644,11093,648,11095,657,11099,662,11100,673,11100,678,11099,687,11095,691,11093,698,11086,700,11082,704,11073,705,11068,705,11057xm705,10502l704,10497,700,10488,698,10484,691,10477,687,10475,678,10471,673,10470,662,10470,657,10471,648,10475,644,10477,637,10484,635,10488,631,10497,630,10502,630,10508,630,10513,631,10518,635,10527,637,10531,644,10538,648,10540,657,10544,662,10545,673,10545,678,10544,687,10540,691,10538,698,10531,700,10527,704,10518,705,10513,705,10502xm705,9932l704,9927,700,9918,698,9914,691,9907,687,9905,678,9901,673,9900,662,9900,657,9901,648,9905,644,9907,637,9914,635,9918,631,9927,630,9932,630,9938,630,9943,631,9948,635,9957,637,9961,644,9968,648,9970,657,9974,662,9975,673,9975,678,9974,687,9970,691,9968,698,9961,700,9957,704,9948,705,9943,705,9932xm705,9377l704,9372,700,9363,698,9359,691,9352,687,9350,678,9346,673,9345,662,9345,657,9346,648,9350,644,9352,637,9359,635,9363,631,9372,630,9377,630,9383,630,9388,631,9393,635,9402,637,9406,644,9413,648,9415,657,9419,662,9420,673,9420,678,9419,687,9415,691,9413,698,9406,700,9402,704,9393,705,9388,705,9377xm705,8822l704,8817,700,8808,698,8804,691,8797,687,8795,678,8791,673,8790,662,8790,657,8791,648,8795,644,8797,637,8804,635,8808,631,8817,630,8822,630,8828,630,8833,631,8838,635,8847,637,8851,644,8858,648,8860,657,8864,662,8865,673,8865,678,8864,687,8860,691,8858,698,8851,700,8847,704,8838,705,8833,705,882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FFFFFF"/>
          <w:spacing w:val="-2"/>
        </w:rPr>
        <w:t>CONTACT</w:t>
      </w:r>
    </w:p>
    <w:p>
      <w:pPr>
        <w:pStyle w:val="BodyText"/>
        <w:spacing w:before="215"/>
        <w:ind w:left="81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96"/>
        <w:ind w:left="0"/>
      </w:pPr>
    </w:p>
    <w:p>
      <w:pPr>
        <w:pStyle w:val="BodyText"/>
        <w:spacing w:line="573" w:lineRule="auto" w:before="0"/>
        <w:ind w:left="815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815"/>
      </w:pPr>
      <w:r>
        <w:rPr>
          <w:color w:val="FFFFFF"/>
        </w:rPr>
        <w:t>Minneapolis,</w:t>
      </w:r>
      <w:r>
        <w:rPr>
          <w:color w:val="FFFFFF"/>
          <w:spacing w:val="14"/>
        </w:rPr>
        <w:t> </w:t>
      </w:r>
      <w:r>
        <w:rPr>
          <w:color w:val="FFFFFF"/>
        </w:rPr>
        <w:t>MN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55401</w:t>
      </w:r>
    </w:p>
    <w:p>
      <w:pPr>
        <w:pStyle w:val="BodyText"/>
        <w:spacing w:before="0"/>
        <w:ind w:left="0"/>
      </w:pPr>
    </w:p>
    <w:p>
      <w:pPr>
        <w:pStyle w:val="BodyText"/>
        <w:spacing w:before="142"/>
        <w:ind w:left="0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185"/>
        <w:ind w:left="647" w:right="311"/>
      </w:pPr>
      <w:r>
        <w:rPr>
          <w:color w:val="FFFFFF"/>
          <w:w w:val="105"/>
        </w:rPr>
        <w:t>Cross-site budgeting and </w:t>
      </w:r>
      <w:r>
        <w:rPr>
          <w:color w:val="FFFFFF"/>
          <w:spacing w:val="-2"/>
          <w:w w:val="105"/>
        </w:rPr>
        <w:t>multi-location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spacing w:line="278" w:lineRule="auto" w:before="104"/>
        <w:ind w:left="647"/>
      </w:pPr>
      <w:r>
        <w:rPr>
          <w:color w:val="FFFFFF"/>
          <w:spacing w:val="-2"/>
          <w:w w:val="105"/>
        </w:rPr>
        <w:t>Forecast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consolidation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regional planning</w:t>
      </w:r>
    </w:p>
    <w:p>
      <w:pPr>
        <w:pStyle w:val="BodyText"/>
        <w:spacing w:line="278" w:lineRule="auto" w:before="75"/>
        <w:ind w:left="647"/>
      </w:pPr>
      <w:r>
        <w:rPr>
          <w:color w:val="FFFFFF"/>
          <w:spacing w:val="-2"/>
          <w:w w:val="105"/>
        </w:rPr>
        <w:t>Location-based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ﬁnancial reporting</w:t>
      </w:r>
    </w:p>
    <w:p>
      <w:pPr>
        <w:pStyle w:val="BodyText"/>
        <w:spacing w:line="261" w:lineRule="auto" w:before="90"/>
        <w:ind w:left="647"/>
      </w:pPr>
      <w:r>
        <w:rPr>
          <w:color w:val="FFFFFF"/>
          <w:spacing w:val="-2"/>
          <w:w w:val="105"/>
        </w:rPr>
        <w:t>Operations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budgeting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expenditure tracking</w:t>
      </w:r>
    </w:p>
    <w:p>
      <w:pPr>
        <w:pStyle w:val="BodyText"/>
        <w:spacing w:line="278" w:lineRule="auto" w:before="103"/>
        <w:ind w:left="647"/>
      </w:pPr>
      <w:r>
        <w:rPr>
          <w:color w:val="FFFFFF"/>
          <w:spacing w:val="-2"/>
          <w:w w:val="105"/>
        </w:rPr>
        <w:t>Trend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analysis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cost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driver identiﬁcation</w:t>
      </w:r>
    </w:p>
    <w:p>
      <w:pPr>
        <w:pStyle w:val="BodyText"/>
        <w:spacing w:line="278" w:lineRule="auto" w:before="75"/>
        <w:ind w:left="647"/>
      </w:pPr>
      <w:r>
        <w:rPr>
          <w:color w:val="FFFFFF"/>
          <w:spacing w:val="-2"/>
          <w:w w:val="105"/>
        </w:rPr>
        <w:t>Rolling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forecast implementation</w:t>
      </w:r>
    </w:p>
    <w:p>
      <w:pPr>
        <w:pStyle w:val="BodyText"/>
        <w:spacing w:line="261" w:lineRule="auto" w:before="90"/>
        <w:ind w:left="647"/>
      </w:pPr>
      <w:r>
        <w:rPr>
          <w:color w:val="FFFFFF"/>
          <w:spacing w:val="-2"/>
          <w:w w:val="105"/>
        </w:rPr>
        <w:t>Budget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template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design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 standardization</w:t>
      </w:r>
    </w:p>
    <w:p>
      <w:pPr>
        <w:pStyle w:val="BodyText"/>
        <w:spacing w:line="278" w:lineRule="auto" w:before="104"/>
        <w:ind w:left="647" w:right="311"/>
      </w:pPr>
      <w:r>
        <w:rPr>
          <w:color w:val="FFFFFF"/>
          <w:spacing w:val="-2"/>
          <w:w w:val="105"/>
        </w:rPr>
        <w:t>Regional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logistics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cost analysis</w:t>
      </w:r>
    </w:p>
    <w:p>
      <w:pPr>
        <w:pStyle w:val="BodyText"/>
        <w:spacing w:line="278" w:lineRule="auto" w:before="75"/>
        <w:ind w:left="647"/>
      </w:pPr>
      <w:r>
        <w:rPr>
          <w:color w:val="FFFFFF"/>
          <w:spacing w:val="-2"/>
          <w:w w:val="105"/>
        </w:rPr>
        <w:t>KPI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development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ﬁeld </w:t>
      </w:r>
      <w:r>
        <w:rPr>
          <w:color w:val="FFFFFF"/>
          <w:w w:val="105"/>
        </w:rPr>
        <w:t>ofﬁce reporting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C0C0C"/>
          <w:spacing w:val="-2"/>
        </w:rPr>
        <w:t>PROFESSIONAL</w:t>
      </w:r>
      <w:r>
        <w:rPr>
          <w:color w:val="0C0C0C"/>
          <w:spacing w:val="-8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56"/>
        <w:ind w:left="164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sz w:val="18"/>
        </w:rPr>
      </w:pPr>
      <w:r>
        <w:rPr>
          <w:b/>
          <w:w w:val="105"/>
          <w:sz w:val="18"/>
        </w:rPr>
        <w:t>Regional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Budget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Analyst,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NorthStar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Logistics</w:t>
      </w:r>
      <w:r>
        <w:rPr>
          <w:b/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Minneapolis,</w:t>
      </w:r>
      <w:r>
        <w:rPr>
          <w:spacing w:val="13"/>
          <w:w w:val="105"/>
          <w:sz w:val="18"/>
        </w:rPr>
        <w:t> </w:t>
      </w:r>
      <w:r>
        <w:rPr>
          <w:spacing w:val="-5"/>
          <w:w w:val="105"/>
          <w:sz w:val="18"/>
        </w:rPr>
        <w:t>MN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53" w:after="0"/>
        <w:ind w:left="926" w:right="336" w:hanging="292"/>
        <w:jc w:val="left"/>
        <w:rPr>
          <w:sz w:val="18"/>
        </w:rPr>
      </w:pPr>
      <w:r>
        <w:rPr>
          <w:w w:val="105"/>
          <w:sz w:val="18"/>
        </w:rPr>
        <w:t>Coordinate budget development and monitoring for 12 Midwest regional facilities totaling $95 million in annual expenditures across operations, personnel, and fleet costs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99" w:after="0"/>
        <w:ind w:left="926" w:right="49" w:hanging="292"/>
        <w:jc w:val="left"/>
        <w:rPr>
          <w:sz w:val="18"/>
        </w:rPr>
      </w:pPr>
      <w:r>
        <w:rPr>
          <w:w w:val="105"/>
          <w:sz w:val="18"/>
        </w:rPr>
        <w:t>Designed standardized budget templates deployed across all 12 regional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locations, reducing data submission errors by 25% and enabling consistent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cross-site financial comparison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00" w:after="0"/>
        <w:ind w:left="926" w:right="131" w:hanging="292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rolling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12-month forecasts, replacing static annual budgets with continuous planning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 adapts to operational changes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99" w:after="0"/>
        <w:ind w:left="926" w:right="246" w:hanging="292"/>
        <w:jc w:val="left"/>
        <w:rPr>
          <w:sz w:val="18"/>
        </w:rPr>
      </w:pPr>
      <w:r>
        <w:rPr>
          <w:w w:val="105"/>
          <w:sz w:val="18"/>
        </w:rPr>
        <w:t>Consolidate monthly financial reports from 12 facilities into regional management packages for executive review, highlighting variance trends and facility-level performance against targets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00" w:after="0"/>
        <w:ind w:left="926" w:right="207" w:hanging="292"/>
        <w:jc w:val="left"/>
        <w:rPr>
          <w:sz w:val="18"/>
        </w:rPr>
      </w:pPr>
      <w:r>
        <w:rPr>
          <w:w w:val="105"/>
          <w:sz w:val="18"/>
        </w:rPr>
        <w:t>Partner with regional site managers to review operational cost drivers and develop realistic forward-year projections, ensuring site-level input is reflected in consolidated budgets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99" w:after="0"/>
        <w:ind w:left="926" w:right="124" w:hanging="292"/>
        <w:jc w:val="left"/>
        <w:rPr>
          <w:sz w:val="18"/>
        </w:rPr>
      </w:pPr>
      <w:r>
        <w:rPr>
          <w:w w:val="105"/>
          <w:sz w:val="18"/>
        </w:rPr>
        <w:t>Track fuel, labor, and maintenance cost trends across all 12 facilities, providing quarterly cost analysis that has informed 3 operational efficiency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initiatives</w:t>
      </w:r>
    </w:p>
    <w:p>
      <w:pPr>
        <w:pStyle w:val="BodyText"/>
        <w:spacing w:before="130"/>
        <w:ind w:left="164"/>
      </w:pPr>
      <w:r>
        <w:rPr>
          <w:w w:val="105"/>
        </w:rPr>
        <w:t>September</w:t>
      </w:r>
      <w:r>
        <w:rPr>
          <w:spacing w:val="12"/>
          <w:w w:val="105"/>
        </w:rPr>
        <w:t> </w:t>
      </w:r>
      <w:r>
        <w:rPr>
          <w:w w:val="105"/>
        </w:rPr>
        <w:t>2015</w:t>
      </w:r>
      <w:r>
        <w:rPr>
          <w:spacing w:val="13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w w:val="105"/>
        </w:rPr>
        <w:t>January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before="33"/>
        <w:ind w:left="164" w:right="0" w:firstLine="0"/>
        <w:jc w:val="left"/>
        <w:rPr>
          <w:sz w:val="18"/>
        </w:rPr>
      </w:pPr>
      <w:r>
        <w:rPr>
          <w:b/>
          <w:w w:val="105"/>
          <w:sz w:val="18"/>
        </w:rPr>
        <w:t>Finance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Analyst,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Central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Distribution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Group</w:t>
      </w:r>
      <w:r>
        <w:rPr>
          <w:b/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Minneapolis,</w:t>
      </w:r>
      <w:r>
        <w:rPr>
          <w:spacing w:val="13"/>
          <w:w w:val="105"/>
          <w:sz w:val="18"/>
        </w:rPr>
        <w:t> </w:t>
      </w:r>
      <w:r>
        <w:rPr>
          <w:spacing w:val="-7"/>
          <w:w w:val="105"/>
          <w:sz w:val="18"/>
        </w:rPr>
        <w:t>MN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53" w:after="0"/>
        <w:ind w:left="926" w:right="0" w:hanging="291"/>
        <w:jc w:val="both"/>
        <w:rPr>
          <w:sz w:val="18"/>
        </w:rPr>
      </w:pPr>
      <w:r>
        <w:rPr>
          <w:w w:val="105"/>
          <w:sz w:val="18"/>
        </w:rPr>
        <w:t>Analyzed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drivers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distribution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centers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identified</w:t>
      </w:r>
    </w:p>
    <w:p>
      <w:pPr>
        <w:pStyle w:val="BodyText"/>
        <w:spacing w:line="278" w:lineRule="auto" w:before="18"/>
        <w:ind w:right="580"/>
        <w:jc w:val="both"/>
      </w:pPr>
      <w:r>
        <w:rPr>
          <w:w w:val="105"/>
        </w:rPr>
        <w:t>$1.5 million in logistics savings through route optimization and carrier contract renegotiation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90" w:after="0"/>
        <w:ind w:left="926" w:right="44" w:hanging="292"/>
        <w:jc w:val="both"/>
        <w:rPr>
          <w:sz w:val="18"/>
        </w:rPr>
      </w:pPr>
      <w:r>
        <w:rPr>
          <w:w w:val="105"/>
          <w:sz w:val="18"/>
        </w:rPr>
        <w:t>Standardized quarterly financial reporting across 6 field offices, introducing consistent templates and submission schedules that reduced consolidation time by 4 hours per cycle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99" w:after="0"/>
        <w:ind w:left="926" w:right="239" w:hanging="292"/>
        <w:jc w:val="left"/>
        <w:rPr>
          <w:sz w:val="18"/>
        </w:rPr>
      </w:pPr>
      <w:r>
        <w:rPr>
          <w:w w:val="105"/>
          <w:sz w:val="18"/>
        </w:rPr>
        <w:t>Supported regional leadership with region-wide financial reviews and KPI dashboards, enabling monthly performance comparisons across all distribution centers</w:t>
      </w:r>
    </w:p>
    <w:p>
      <w:pPr>
        <w:pStyle w:val="BodyText"/>
        <w:spacing w:before="26"/>
        <w:ind w:left="0"/>
      </w:pPr>
    </w:p>
    <w:p>
      <w:pPr>
        <w:pStyle w:val="Heading1"/>
      </w:pPr>
      <w:r>
        <w:rPr>
          <w:color w:val="0C0C0C"/>
          <w:spacing w:val="-2"/>
        </w:rPr>
        <w:t>EDUCATION</w:t>
      </w:r>
    </w:p>
    <w:p>
      <w:pPr>
        <w:pStyle w:val="Heading3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Accounting</w:t>
      </w:r>
    </w:p>
    <w:p>
      <w:pPr>
        <w:pStyle w:val="BodyText"/>
        <w:spacing w:before="33"/>
        <w:ind w:left="164"/>
      </w:pPr>
      <w:r>
        <w:rPr>
          <w:w w:val="105"/>
        </w:rPr>
        <w:t>University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Minnesota,</w:t>
      </w:r>
      <w:r>
        <w:rPr>
          <w:spacing w:val="11"/>
          <w:w w:val="105"/>
        </w:rPr>
        <w:t> </w:t>
      </w:r>
      <w:r>
        <w:rPr>
          <w:w w:val="105"/>
        </w:rPr>
        <w:t>Minneapolis,</w:t>
      </w:r>
      <w:r>
        <w:rPr>
          <w:spacing w:val="11"/>
          <w:w w:val="105"/>
        </w:rPr>
        <w:t> </w:t>
      </w:r>
      <w:r>
        <w:rPr>
          <w:w w:val="105"/>
        </w:rPr>
        <w:t>MN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940" w:bottom="280" w:left="283" w:right="425"/>
      <w:cols w:num="2" w:equalWidth="0">
        <w:col w:w="3121" w:space="581"/>
        <w:col w:w="75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7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6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4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73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2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1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  <w:ind w:left="92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9"/>
      <w:ind w:left="3864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0"/>
      <w:ind w:left="16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2026-03-12T14:59:55Z</dcterms:created>
  <dcterms:modified xsi:type="dcterms:W3CDTF">2026-03-12T14:59:55Z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