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ALEX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BROWN</w:t>
      </w:r>
    </w:p>
    <w:p>
      <w:pPr>
        <w:pStyle w:val="Heading3"/>
      </w:pPr>
      <w:r>
        <w:rPr>
          <w:color w:val="FFFFFF"/>
        </w:rPr>
        <w:t>Pharmaceutical</w:t>
      </w:r>
      <w:r>
        <w:rPr>
          <w:color w:val="FFFFFF"/>
          <w:spacing w:val="18"/>
        </w:rPr>
        <w:t> </w:t>
      </w:r>
      <w:r>
        <w:rPr>
          <w:color w:val="FFFFFF"/>
        </w:rPr>
        <w:t>Chief</w:t>
      </w:r>
      <w:r>
        <w:rPr>
          <w:color w:val="FFFFFF"/>
          <w:spacing w:val="19"/>
        </w:rPr>
        <w:t> </w:t>
      </w:r>
      <w:r>
        <w:rPr>
          <w:color w:val="FFFFFF"/>
        </w:rPr>
        <w:t>Executive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Ofﬁcer</w:t>
      </w:r>
    </w:p>
    <w:p>
      <w:pPr>
        <w:spacing w:before="124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Chicago,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IL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49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48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8B0000"/>
          <w:spacing w:val="-2"/>
          <w:w w:val="105"/>
        </w:rPr>
        <w:t>Professional</w:t>
      </w:r>
      <w:r>
        <w:rPr>
          <w:smallCaps/>
          <w:color w:val="8B0000"/>
          <w:spacing w:val="3"/>
          <w:w w:val="105"/>
        </w:rPr>
        <w:t> </w:t>
      </w:r>
      <w:r>
        <w:rPr>
          <w:smallCaps/>
          <w:color w:val="8B0000"/>
          <w:spacing w:val="-2"/>
          <w:w w:val="105"/>
        </w:rPr>
        <w:t>Experience</w:t>
      </w:r>
    </w:p>
    <w:p>
      <w:pPr>
        <w:pStyle w:val="BodyText"/>
        <w:spacing w:before="133"/>
        <w:ind w:left="4761"/>
      </w:pPr>
      <w:r>
        <w:rPr>
          <w:w w:val="105"/>
        </w:rPr>
        <w:t>Chief</w:t>
      </w:r>
      <w:r>
        <w:rPr>
          <w:spacing w:val="-12"/>
          <w:w w:val="105"/>
        </w:rPr>
        <w:t> </w:t>
      </w:r>
      <w:r>
        <w:rPr>
          <w:w w:val="105"/>
        </w:rPr>
        <w:t>Executive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Ofﬁcer</w:t>
      </w:r>
    </w:p>
    <w:p>
      <w:pPr>
        <w:pStyle w:val="BodyText"/>
        <w:spacing w:before="86"/>
        <w:ind w:left="4761"/>
      </w:pPr>
      <w:r>
        <w:rPr>
          <w:w w:val="105"/>
        </w:rPr>
        <w:t>BioNova</w:t>
      </w:r>
      <w:r>
        <w:rPr>
          <w:spacing w:val="-6"/>
          <w:w w:val="105"/>
        </w:rPr>
        <w:t> </w:t>
      </w:r>
      <w:r>
        <w:rPr>
          <w:w w:val="105"/>
        </w:rPr>
        <w:t>Pharma,</w:t>
      </w:r>
      <w:r>
        <w:rPr>
          <w:spacing w:val="-6"/>
          <w:w w:val="105"/>
        </w:rPr>
        <w:t> </w:t>
      </w:r>
      <w:r>
        <w:rPr>
          <w:w w:val="105"/>
        </w:rPr>
        <w:t>Chicago,</w:t>
      </w:r>
      <w:r>
        <w:rPr>
          <w:spacing w:val="-6"/>
          <w:w w:val="105"/>
        </w:rPr>
        <w:t> </w:t>
      </w:r>
      <w:r>
        <w:rPr>
          <w:w w:val="105"/>
        </w:rPr>
        <w:t>IL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2017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14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919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191625">
                                <a:moveTo>
                                  <a:pt x="2771774" y="9191624"/>
                                </a:moveTo>
                                <a:lnTo>
                                  <a:pt x="0" y="91916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191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24149"/>
                            <a:ext cx="2819400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753100">
                                <a:moveTo>
                                  <a:pt x="47625" y="5725934"/>
                                </a:moveTo>
                                <a:lnTo>
                                  <a:pt x="27165" y="5705475"/>
                                </a:lnTo>
                                <a:lnTo>
                                  <a:pt x="20472" y="5705475"/>
                                </a:lnTo>
                                <a:lnTo>
                                  <a:pt x="0" y="5725934"/>
                                </a:lnTo>
                                <a:lnTo>
                                  <a:pt x="0" y="5729516"/>
                                </a:lnTo>
                                <a:lnTo>
                                  <a:pt x="0" y="5732640"/>
                                </a:lnTo>
                                <a:lnTo>
                                  <a:pt x="20472" y="5753100"/>
                                </a:lnTo>
                                <a:lnTo>
                                  <a:pt x="27165" y="5753100"/>
                                </a:lnTo>
                                <a:lnTo>
                                  <a:pt x="47625" y="5732640"/>
                                </a:lnTo>
                                <a:lnTo>
                                  <a:pt x="47625" y="5725934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5278272"/>
                                </a:moveTo>
                                <a:lnTo>
                                  <a:pt x="27165" y="5257800"/>
                                </a:lnTo>
                                <a:lnTo>
                                  <a:pt x="20472" y="5257800"/>
                                </a:lnTo>
                                <a:lnTo>
                                  <a:pt x="0" y="5278272"/>
                                </a:lnTo>
                                <a:lnTo>
                                  <a:pt x="0" y="5281841"/>
                                </a:lnTo>
                                <a:lnTo>
                                  <a:pt x="0" y="5284965"/>
                                </a:lnTo>
                                <a:lnTo>
                                  <a:pt x="20472" y="5305425"/>
                                </a:lnTo>
                                <a:lnTo>
                                  <a:pt x="27165" y="5305425"/>
                                </a:lnTo>
                                <a:lnTo>
                                  <a:pt x="47625" y="5284965"/>
                                </a:lnTo>
                                <a:lnTo>
                                  <a:pt x="47625" y="5278272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4963947"/>
                                </a:moveTo>
                                <a:lnTo>
                                  <a:pt x="27165" y="4943475"/>
                                </a:lnTo>
                                <a:lnTo>
                                  <a:pt x="20472" y="4943475"/>
                                </a:lnTo>
                                <a:lnTo>
                                  <a:pt x="0" y="4963947"/>
                                </a:lnTo>
                                <a:lnTo>
                                  <a:pt x="0" y="4967516"/>
                                </a:lnTo>
                                <a:lnTo>
                                  <a:pt x="0" y="4970640"/>
                                </a:lnTo>
                                <a:lnTo>
                                  <a:pt x="20472" y="4991100"/>
                                </a:lnTo>
                                <a:lnTo>
                                  <a:pt x="27165" y="4991100"/>
                                </a:lnTo>
                                <a:lnTo>
                                  <a:pt x="47625" y="4970640"/>
                                </a:lnTo>
                                <a:lnTo>
                                  <a:pt x="47625" y="4963947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4640097"/>
                                </a:moveTo>
                                <a:lnTo>
                                  <a:pt x="27165" y="4619625"/>
                                </a:lnTo>
                                <a:lnTo>
                                  <a:pt x="20472" y="4619625"/>
                                </a:lnTo>
                                <a:lnTo>
                                  <a:pt x="0" y="4640097"/>
                                </a:lnTo>
                                <a:lnTo>
                                  <a:pt x="0" y="4643666"/>
                                </a:lnTo>
                                <a:lnTo>
                                  <a:pt x="0" y="4646790"/>
                                </a:lnTo>
                                <a:lnTo>
                                  <a:pt x="20472" y="4667250"/>
                                </a:lnTo>
                                <a:lnTo>
                                  <a:pt x="27165" y="4667250"/>
                                </a:lnTo>
                                <a:lnTo>
                                  <a:pt x="47625" y="4646790"/>
                                </a:lnTo>
                                <a:lnTo>
                                  <a:pt x="47625" y="4640097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4325772"/>
                                </a:moveTo>
                                <a:lnTo>
                                  <a:pt x="27165" y="4305300"/>
                                </a:lnTo>
                                <a:lnTo>
                                  <a:pt x="20472" y="4305300"/>
                                </a:lnTo>
                                <a:lnTo>
                                  <a:pt x="0" y="4325772"/>
                                </a:lnTo>
                                <a:lnTo>
                                  <a:pt x="0" y="4329341"/>
                                </a:lnTo>
                                <a:lnTo>
                                  <a:pt x="0" y="4332465"/>
                                </a:lnTo>
                                <a:lnTo>
                                  <a:pt x="20472" y="4352925"/>
                                </a:lnTo>
                                <a:lnTo>
                                  <a:pt x="27165" y="4352925"/>
                                </a:lnTo>
                                <a:lnTo>
                                  <a:pt x="47625" y="4332465"/>
                                </a:lnTo>
                                <a:lnTo>
                                  <a:pt x="47625" y="4325772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2819400" h="5753100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628900" y="5363997"/>
                                </a:moveTo>
                                <a:lnTo>
                                  <a:pt x="2608440" y="5343525"/>
                                </a:lnTo>
                                <a:lnTo>
                                  <a:pt x="2601747" y="5343525"/>
                                </a:lnTo>
                                <a:lnTo>
                                  <a:pt x="2581275" y="5363997"/>
                                </a:lnTo>
                                <a:lnTo>
                                  <a:pt x="2581275" y="5367566"/>
                                </a:lnTo>
                                <a:lnTo>
                                  <a:pt x="2581275" y="5370690"/>
                                </a:lnTo>
                                <a:lnTo>
                                  <a:pt x="2601747" y="5391150"/>
                                </a:lnTo>
                                <a:lnTo>
                                  <a:pt x="2608440" y="5391150"/>
                                </a:lnTo>
                                <a:lnTo>
                                  <a:pt x="2628900" y="5370690"/>
                                </a:lnTo>
                                <a:lnTo>
                                  <a:pt x="2628900" y="536399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3478047"/>
                                </a:moveTo>
                                <a:lnTo>
                                  <a:pt x="2798940" y="3457575"/>
                                </a:lnTo>
                                <a:lnTo>
                                  <a:pt x="2792247" y="3457575"/>
                                </a:lnTo>
                                <a:lnTo>
                                  <a:pt x="2771775" y="3478047"/>
                                </a:lnTo>
                                <a:lnTo>
                                  <a:pt x="2771775" y="3481616"/>
                                </a:lnTo>
                                <a:lnTo>
                                  <a:pt x="2771775" y="3484740"/>
                                </a:lnTo>
                                <a:lnTo>
                                  <a:pt x="2792247" y="3505200"/>
                                </a:lnTo>
                                <a:lnTo>
                                  <a:pt x="2798940" y="3505200"/>
                                </a:lnTo>
                                <a:lnTo>
                                  <a:pt x="2819400" y="3484740"/>
                                </a:lnTo>
                                <a:lnTo>
                                  <a:pt x="2819400" y="347804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3030372"/>
                                </a:moveTo>
                                <a:lnTo>
                                  <a:pt x="2798940" y="3009900"/>
                                </a:lnTo>
                                <a:lnTo>
                                  <a:pt x="2792247" y="3009900"/>
                                </a:lnTo>
                                <a:lnTo>
                                  <a:pt x="2771775" y="3030372"/>
                                </a:lnTo>
                                <a:lnTo>
                                  <a:pt x="2771775" y="3033941"/>
                                </a:lnTo>
                                <a:lnTo>
                                  <a:pt x="2771775" y="3037065"/>
                                </a:lnTo>
                                <a:lnTo>
                                  <a:pt x="2792247" y="3057525"/>
                                </a:lnTo>
                                <a:lnTo>
                                  <a:pt x="2798940" y="3057525"/>
                                </a:lnTo>
                                <a:lnTo>
                                  <a:pt x="2819400" y="3037065"/>
                                </a:lnTo>
                                <a:lnTo>
                                  <a:pt x="2819400" y="3030372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2582697"/>
                                </a:moveTo>
                                <a:lnTo>
                                  <a:pt x="2798940" y="2562225"/>
                                </a:lnTo>
                                <a:lnTo>
                                  <a:pt x="2792247" y="2562225"/>
                                </a:lnTo>
                                <a:lnTo>
                                  <a:pt x="2771775" y="2582697"/>
                                </a:lnTo>
                                <a:lnTo>
                                  <a:pt x="2771775" y="2586266"/>
                                </a:lnTo>
                                <a:lnTo>
                                  <a:pt x="2771775" y="2589390"/>
                                </a:lnTo>
                                <a:lnTo>
                                  <a:pt x="2792247" y="2609850"/>
                                </a:lnTo>
                                <a:lnTo>
                                  <a:pt x="2798940" y="2609850"/>
                                </a:lnTo>
                                <a:lnTo>
                                  <a:pt x="2819400" y="2589390"/>
                                </a:lnTo>
                                <a:lnTo>
                                  <a:pt x="2819400" y="258269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915822"/>
                                </a:moveTo>
                                <a:lnTo>
                                  <a:pt x="2798940" y="895350"/>
                                </a:lnTo>
                                <a:lnTo>
                                  <a:pt x="2792247" y="895350"/>
                                </a:lnTo>
                                <a:lnTo>
                                  <a:pt x="2771775" y="915822"/>
                                </a:lnTo>
                                <a:lnTo>
                                  <a:pt x="2771775" y="919391"/>
                                </a:lnTo>
                                <a:lnTo>
                                  <a:pt x="2771775" y="92251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98940" y="942975"/>
                                </a:lnTo>
                                <a:lnTo>
                                  <a:pt x="2819400" y="922515"/>
                                </a:lnTo>
                                <a:lnTo>
                                  <a:pt x="2819400" y="915822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57531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447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8b0000" stroked="false">
                  <v:fill type="solid"/>
                </v:rect>
                <v:shape style="position:absolute;left:689;top:4290;width:4440;height:9060" id="docshape7" coordorigin="690,4290" coordsize="4440,9060" path="m765,13307l764,13302,760,13293,758,13289,751,13282,747,13280,738,13276,733,13275,722,13275,717,13276,708,13280,704,13282,697,13289,695,13293,691,13302,690,13307,690,13313,690,13318,691,13323,695,13332,697,13336,704,13343,708,13345,717,13349,722,13350,733,13350,738,13349,747,13345,751,13343,758,13336,760,13332,764,13323,765,13318,765,13307xm765,12602l764,12597,760,12588,758,12584,751,12577,747,12575,738,12571,733,12570,722,12570,717,12571,708,12575,704,12577,697,12584,695,12588,691,12597,690,12602,690,12608,690,12613,691,12618,695,12627,697,12631,704,12638,708,12640,717,12644,722,12645,733,12645,738,12644,747,12640,751,12638,758,12631,760,12627,764,12618,765,12613,765,12602xm765,12107l764,12102,760,12093,758,12089,751,12082,747,12080,738,12076,733,12075,722,12075,717,12076,708,12080,704,12082,697,12089,695,12093,691,12102,690,12107,690,12113,690,12118,691,12123,695,12132,697,12136,704,12143,708,12145,717,12149,722,12150,733,12150,738,12149,747,12145,751,12143,758,12136,760,12132,764,12123,765,12118,765,12107xm765,11597l764,11592,760,11583,758,11579,751,11572,747,11570,738,11566,733,11565,722,11565,717,11566,708,11570,704,11572,697,11579,695,11583,691,11592,690,11597,690,11603,690,11608,691,11613,695,11622,697,11626,704,11633,708,11635,717,11639,722,11640,733,11640,738,11639,747,11635,751,11633,758,11626,760,11622,764,11613,765,11608,765,11597xm765,11102l764,11097,760,11088,758,11084,751,11077,747,11075,738,11071,733,11070,722,11070,717,11071,708,11075,704,11077,697,11084,695,11088,691,11097,690,11102,690,11108,690,11113,691,11118,695,11127,697,11131,704,11138,708,11140,717,11144,722,11145,733,11145,738,11144,747,11140,751,11138,758,11131,760,11127,764,11118,765,11113,765,11102xm765,10607l764,10602,760,10593,758,10589,751,10582,747,10580,738,10576,733,10575,722,10575,717,10576,708,10580,704,10582,697,10589,695,10593,691,10602,690,10607,690,10613,690,10618,691,10623,695,10632,697,10636,704,10643,708,10645,717,10649,722,10650,733,10650,738,10649,747,10645,751,10643,758,10636,760,10632,764,10623,765,10618,765,10607x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4830,12737l4829,12732,4825,12723,4823,12719,4816,12712,4812,12710,4803,12706,4798,12705,4787,12705,4782,12706,4773,12710,4769,12712,4762,12719,4760,12723,4756,12732,4755,12737,4755,12743,4755,12748,4756,12753,4760,12762,4762,12766,4769,12773,4773,12775,4782,12779,4787,12780,4798,12780,4803,12779,4812,12775,4816,12773,4823,12766,4825,12762,4829,12753,4830,12748,4830,12737xm5130,9767l5129,9762,5125,9753,5123,9749,5116,9742,5112,9740,5103,9736,5098,9735,5087,9735,5082,9736,5073,9740,5069,9742,5062,9749,5060,9753,5056,9762,5055,9767,5055,9773,5055,9778,5056,9783,5060,9792,5062,9796,5069,9803,5073,9805,5082,9809,5087,9810,5098,9810,5103,9809,5112,9805,5116,9803,5123,9796,5125,9792,5129,9783,5130,9778,5130,9767xm5130,9062l5129,9057,5125,9048,5123,9044,5116,9037,5112,9035,5103,9031,5098,9030,5087,9030,5082,9031,5073,9035,5069,9037,5062,9044,5060,9048,5056,9057,5055,9062,5055,9068,5055,9073,5056,9078,5060,9087,5062,9091,5069,9098,5073,9100,5082,9104,5087,9105,5098,9105,5103,9104,5112,9100,5116,9098,5123,9091,5125,9087,5129,9078,5130,9073,5130,9062xm5130,8357l5129,8352,5125,8343,5123,8339,5116,8332,5112,8330,5103,8326,5098,8325,5087,8325,5082,8326,5073,8330,5069,8332,5062,8339,5060,8343,5056,8352,5055,8357,5055,8363,5055,8368,5056,8373,5060,8382,5062,8386,5069,8393,5073,8395,5082,8399,5087,8400,5098,8400,5103,8399,5112,8395,5116,8393,5123,8386,5125,8382,5129,8373,5130,8368,5130,8357xm5130,7127l5129,7122,5125,7113,5123,7109,5116,7102,5112,7100,5103,7096,5098,7095,5087,7095,5082,7096,5073,7100,5069,7102,5062,7109,5060,7113,5056,7122,5055,7127,5055,7133,5055,7138,5056,7143,5060,7152,5062,7156,5069,7163,5073,7165,5082,7169,5087,7170,5098,7170,5103,7169,5112,7165,5116,7163,5123,7156,5125,7152,5129,7143,5130,7138,5130,7127xm5130,6422l5129,6417,5125,6408,5123,6404,5116,6397,5112,6395,5103,6391,5098,6390,5087,6390,5082,6391,5073,6395,5069,6397,5062,6404,5060,6408,5056,6417,5055,6422,5055,6428,5055,6433,5056,6438,5060,6447,5062,6451,5069,6458,5073,6460,5082,6464,5087,6465,5098,6465,5103,6464,5112,6460,5116,6458,5123,6451,5125,6447,5129,6438,5130,6433,5130,6422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m5130,5027l5129,5022,5125,5013,5123,5009,5116,5002,5112,5000,5103,4996,5098,4995,5087,4995,5082,4996,5073,5000,5069,5002,5062,5009,5060,5013,5056,5022,5055,5027,5055,5033,5055,5038,5056,5043,5060,5052,5062,5056,5069,5063,5073,5065,5082,5069,5087,5070,5098,5070,5103,5069,5112,5065,5116,5063,5123,5056,5125,5052,5129,5043,5130,5038,5130,5027xm5130,4322l5129,4317,5125,4308,5123,4304,5116,4297,5112,4295,5103,4291,5098,4290,5087,4290,5082,4291,5073,4295,5069,4297,5062,4304,5060,4308,5056,4317,5055,4322,5055,4328,5055,4333,5056,4338,5060,4347,5062,4351,5069,4358,5073,4360,5082,4364,5087,4365,5098,4365,5103,4364,5112,4360,5116,4358,5123,4351,5125,4347,5129,4338,5130,4333,5130,4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9"/>
        <w:rPr>
          <w:sz w:val="18"/>
        </w:rPr>
      </w:pPr>
    </w:p>
    <w:p>
      <w:pPr>
        <w:spacing w:line="237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Seasoned pharmaceutical executive with expertise in drug </w:t>
      </w:r>
      <w:r>
        <w:rPr>
          <w:spacing w:val="-2"/>
          <w:w w:val="105"/>
          <w:sz w:val="18"/>
        </w:rPr>
        <w:t>commercialization,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regulatory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strategy, </w:t>
      </w:r>
      <w:r>
        <w:rPr>
          <w:w w:val="105"/>
          <w:sz w:val="18"/>
        </w:rPr>
        <w:t>and pipeline development</w:t>
      </w:r>
    </w:p>
    <w:p>
      <w:pPr>
        <w:spacing w:line="237" w:lineRule="auto" w:before="5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Seasoned pharmaceutical executive with 18 years of experience leading R&amp;D, regulatory affairs, and commercial teams at global drug manufacturers.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 directing global launches generating</w:t>
      </w:r>
    </w:p>
    <w:p>
      <w:pPr>
        <w:spacing w:line="191" w:lineRule="exact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$1.2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billion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ﬁrst-year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sales,</w:t>
      </w:r>
    </w:p>
    <w:p>
      <w:pPr>
        <w:spacing w:line="237" w:lineRule="auto" w:before="5"/>
        <w:ind w:left="595" w:right="103" w:firstLine="0"/>
        <w:jc w:val="left"/>
        <w:rPr>
          <w:sz w:val="18"/>
        </w:rPr>
      </w:pPr>
      <w:r>
        <w:rPr>
          <w:w w:val="105"/>
          <w:sz w:val="18"/>
        </w:rPr>
        <w:t>accelerating drug approvals, and expanding product pipelines through strategic licensing and partnerships. Expert in regulatory strategy, drug </w:t>
      </w:r>
      <w:r>
        <w:rPr>
          <w:spacing w:val="-2"/>
          <w:w w:val="105"/>
          <w:sz w:val="18"/>
        </w:rPr>
        <w:t>commercialization,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R&amp;D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optimization, </w:t>
      </w:r>
      <w:r>
        <w:rPr>
          <w:w w:val="105"/>
          <w:sz w:val="18"/>
        </w:rPr>
        <w:t>and cross-functional leadership across large-scale pharmaceutical organizations operating in multiple therapeutic areas.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spacing w:line="242" w:lineRule="auto"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drug approval navigation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Drug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commercialization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product launch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Licensing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partnership </w:t>
      </w:r>
      <w:r>
        <w:rPr>
          <w:spacing w:val="-2"/>
          <w:w w:val="105"/>
          <w:sz w:val="18"/>
        </w:rPr>
        <w:t>development</w:t>
      </w:r>
    </w:p>
    <w:p>
      <w:pPr>
        <w:spacing w:line="225" w:lineRule="auto" w:before="10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R&amp;D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pipeline </w:t>
      </w:r>
      <w:r>
        <w:rPr>
          <w:spacing w:val="-2"/>
          <w:w w:val="105"/>
          <w:sz w:val="18"/>
        </w:rPr>
        <w:t>management</w:t>
      </w:r>
    </w:p>
    <w:p>
      <w:pPr>
        <w:spacing w:line="242" w:lineRule="auto" w:before="96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P&amp;L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revenue growth</w:t>
      </w:r>
    </w:p>
    <w:p>
      <w:pPr>
        <w:spacing w:line="242" w:lineRule="auto" w:before="77"/>
        <w:ind w:left="985" w:right="118" w:firstLine="0"/>
        <w:jc w:val="left"/>
        <w:rPr>
          <w:sz w:val="18"/>
        </w:rPr>
      </w:pPr>
      <w:r>
        <w:rPr>
          <w:spacing w:val="-2"/>
          <w:w w:val="105"/>
          <w:sz w:val="18"/>
        </w:rPr>
        <w:t>Cross-functional leadership </w:t>
      </w:r>
      <w:r>
        <w:rPr>
          <w:w w:val="105"/>
          <w:sz w:val="18"/>
        </w:rPr>
        <w:t>(medical, commercial, </w:t>
      </w:r>
      <w:r>
        <w:rPr>
          <w:spacing w:val="-2"/>
          <w:w w:val="105"/>
          <w:sz w:val="18"/>
        </w:rPr>
        <w:t>regulatory)</w:t>
      </w:r>
    </w:p>
    <w:p>
      <w:pPr>
        <w:spacing w:line="242" w:lineRule="auto" w:before="77"/>
        <w:ind w:left="985" w:right="103" w:firstLine="0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payer </w:t>
      </w:r>
      <w:r>
        <w:rPr>
          <w:spacing w:val="-2"/>
          <w:w w:val="105"/>
          <w:sz w:val="18"/>
        </w:rPr>
        <w:t>strategy</w:t>
      </w:r>
    </w:p>
    <w:p>
      <w:pPr>
        <w:pStyle w:val="BodyText"/>
        <w:spacing w:line="264" w:lineRule="auto" w:before="79"/>
        <w:ind w:left="1189"/>
      </w:pPr>
      <w:r>
        <w:rPr/>
        <w:br w:type="column"/>
      </w:r>
      <w:r>
        <w:rPr>
          <w:w w:val="105"/>
        </w:rPr>
        <w:t>Directed the global launch of three blockbuster therapies across oncology, immunology, and rare disease, generating $1.2 billion in combined ﬁrst-year sales and establishing BioNova as a top-10 specialty pharma company.</w:t>
      </w:r>
    </w:p>
    <w:p>
      <w:pPr>
        <w:pStyle w:val="BodyText"/>
        <w:spacing w:line="264" w:lineRule="auto" w:before="9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-147217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8B0000"/>
                                <w:spacing w:val="-2"/>
                                <w:w w:val="105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1.591957pt;width:218.25pt;height:21pt;mso-position-horizontal-relative:page;mso-position-vertical-relative:paragraph;z-index:15729664" type="#_x0000_t202" id="docshape8" filled="true" fillcolor="#8b0000" stroked="false">
                <v:textbox inset="0,0,0,0">
                  <w:txbxContent>
                    <w:p>
                      <w:pPr>
                        <w:spacing w:before="1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8B0000"/>
                          <w:spacing w:val="-2"/>
                          <w:w w:val="105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Spearheaded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9"/>
          <w:w w:val="105"/>
        </w:rPr>
        <w:t> </w:t>
      </w:r>
      <w:r>
        <w:rPr>
          <w:w w:val="105"/>
        </w:rPr>
        <w:t>partnership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in-licensing</w:t>
      </w:r>
      <w:r>
        <w:rPr>
          <w:spacing w:val="19"/>
          <w:w w:val="105"/>
        </w:rPr>
        <w:t> </w:t>
      </w:r>
      <w:r>
        <w:rPr>
          <w:w w:val="105"/>
        </w:rPr>
        <w:t>strategy</w:t>
      </w:r>
      <w:r>
        <w:rPr>
          <w:spacing w:val="19"/>
          <w:w w:val="105"/>
        </w:rPr>
        <w:t> </w:t>
      </w:r>
      <w:r>
        <w:rPr>
          <w:w w:val="105"/>
        </w:rPr>
        <w:t>that</w:t>
      </w:r>
      <w:r>
        <w:rPr>
          <w:spacing w:val="19"/>
          <w:w w:val="105"/>
        </w:rPr>
        <w:t> </w:t>
      </w:r>
      <w:r>
        <w:rPr>
          <w:w w:val="105"/>
        </w:rPr>
        <w:t>expanded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late-stage pipeline by 40%, adding ﬁve new molecular entities through eight licensing deals and two asset acquisitions valued at $420 million.</w:t>
      </w:r>
    </w:p>
    <w:p>
      <w:pPr>
        <w:pStyle w:val="BodyText"/>
        <w:spacing w:line="264" w:lineRule="auto" w:before="98"/>
        <w:ind w:left="1189" w:right="319"/>
        <w:jc w:val="both"/>
      </w:pPr>
      <w:r>
        <w:rPr>
          <w:w w:val="105"/>
        </w:rPr>
        <w:t>Optimized R&amp;D operations by implementing portfolio prioritization frameworks and milestone-based funding, reducing time-to-market by 18% and improving Phase II to Phase III transition rates from 48% to 67%.</w:t>
      </w:r>
    </w:p>
    <w:p>
      <w:pPr>
        <w:pStyle w:val="BodyText"/>
        <w:spacing w:line="264" w:lineRule="auto" w:before="82"/>
        <w:ind w:left="1189" w:right="16"/>
        <w:jc w:val="both"/>
      </w:pPr>
      <w:r>
        <w:rPr>
          <w:w w:val="105"/>
        </w:rPr>
        <w:t>Led cross-functional launch teams of 400+ across medical affairs, market access, commercial, and manufacturing, coordinating simultaneous product introductions across eight countries.</w:t>
      </w:r>
    </w:p>
    <w:p>
      <w:pPr>
        <w:pStyle w:val="BodyText"/>
        <w:spacing w:line="254" w:lineRule="auto" w:before="98"/>
        <w:ind w:left="1189" w:right="34"/>
        <w:jc w:val="both"/>
      </w:pPr>
      <w:r>
        <w:rPr>
          <w:w w:val="105"/>
        </w:rPr>
        <w:t>Secured accelerated approval designations from FDA and EMA for two therapies, reducing regulatory review timelines by an average of 14 months per program.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President,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America</w:t>
      </w:r>
    </w:p>
    <w:p>
      <w:pPr>
        <w:pStyle w:val="BodyText"/>
        <w:spacing w:before="86"/>
        <w:ind w:left="595"/>
      </w:pPr>
      <w:r>
        <w:rPr>
          <w:spacing w:val="-2"/>
          <w:w w:val="105"/>
        </w:rPr>
        <w:t>PharmaTech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2010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"/>
      </w:pPr>
    </w:p>
    <w:p>
      <w:pPr>
        <w:pStyle w:val="BodyText"/>
        <w:spacing w:line="264" w:lineRule="auto"/>
        <w:ind w:left="1189" w:right="294"/>
        <w:jc w:val="both"/>
      </w:pPr>
      <w:r>
        <w:rPr>
          <w:w w:val="105"/>
        </w:rPr>
        <w:t>Grew North American regional sales by 60% over seven years, driving market share gains in four key therapeutic areas and expanding the commercial team from 180 to 250 ﬁeld-based professionals.</w:t>
      </w:r>
    </w:p>
    <w:p>
      <w:pPr>
        <w:pStyle w:val="BodyText"/>
        <w:spacing w:line="264" w:lineRule="auto" w:before="98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367399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8B0000"/>
                                <w:w w:val="105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8B0000"/>
                                <w:spacing w:val="-13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8B0000"/>
                                <w:spacing w:val="-2"/>
                                <w:w w:val="105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8.929117pt;width:218.25pt;height:21pt;mso-position-horizontal-relative:page;mso-position-vertical-relative:paragraph;z-index:15729152" type="#_x0000_t202" id="docshape9" filled="true" fillcolor="#8b0000" stroked="false">
                <v:textbox inset="0,0,0,0">
                  <w:txbxContent>
                    <w:p>
                      <w:pPr>
                        <w:spacing w:before="1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8B0000"/>
                          <w:w w:val="105"/>
                          <w:sz w:val="29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8B0000"/>
                          <w:spacing w:val="-13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b/>
                          <w:smallCaps/>
                          <w:color w:val="8B0000"/>
                          <w:spacing w:val="-2"/>
                          <w:w w:val="105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Led a team of 250 across sales, marketing, and medical affairs, implementing engagement score programs that improved employee satisfaction from 62% to 84% and reduced voluntary turnover by 30%.</w:t>
      </w:r>
    </w:p>
    <w:p>
      <w:pPr>
        <w:pStyle w:val="BodyText"/>
        <w:spacing w:line="264" w:lineRule="auto" w:before="98"/>
        <w:ind w:left="1189" w:right="118"/>
      </w:pPr>
      <w:r>
        <w:rPr>
          <w:w w:val="105"/>
        </w:rPr>
        <w:t>Negotiated pricing and reimbursement agreements with 12 major payers, preserving 95% of product margins while achieving preferred formulary placement on 78% of targeted formularies.</w:t>
      </w:r>
    </w:p>
    <w:p>
      <w:pPr>
        <w:pStyle w:val="Heading2"/>
        <w:spacing w:before="156"/>
      </w:pPr>
      <w:r>
        <w:rPr>
          <w:smallCaps/>
          <w:color w:val="8B0000"/>
          <w:spacing w:val="-2"/>
          <w:w w:val="105"/>
        </w:rPr>
        <w:t>Education</w:t>
      </w:r>
    </w:p>
    <w:p>
      <w:pPr>
        <w:pStyle w:val="BodyText"/>
        <w:spacing w:before="133"/>
        <w:ind w:left="595"/>
      </w:pPr>
      <w:r>
        <w:rPr>
          <w:spacing w:val="-2"/>
          <w:w w:val="105"/>
        </w:rPr>
        <w:t>Master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(MBA)</w:t>
      </w:r>
    </w:p>
    <w:p>
      <w:pPr>
        <w:pStyle w:val="BodyText"/>
        <w:spacing w:before="71"/>
        <w:ind w:left="595"/>
      </w:pPr>
      <w:r>
        <w:rPr>
          <w:w w:val="105"/>
        </w:rPr>
        <w:t>Kellogg</w:t>
      </w:r>
      <w:r>
        <w:rPr>
          <w:spacing w:val="-7"/>
          <w:w w:val="105"/>
        </w:rPr>
        <w:t> </w:t>
      </w:r>
      <w:r>
        <w:rPr>
          <w:w w:val="105"/>
        </w:rPr>
        <w:t>School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Management,</w:t>
      </w:r>
      <w:r>
        <w:rPr>
          <w:spacing w:val="-6"/>
          <w:w w:val="105"/>
        </w:rPr>
        <w:t> </w:t>
      </w:r>
      <w:r>
        <w:rPr>
          <w:w w:val="105"/>
        </w:rPr>
        <w:t>Northwestern</w:t>
      </w:r>
      <w:r>
        <w:rPr>
          <w:spacing w:val="-7"/>
          <w:w w:val="105"/>
        </w:rPr>
        <w:t> </w:t>
      </w: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42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2008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Pharmaceutical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Sciences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Illinois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4"/>
          <w:w w:val="105"/>
        </w:rPr>
        <w:t> </w:t>
      </w:r>
      <w:r>
        <w:rPr>
          <w:w w:val="105"/>
        </w:rPr>
        <w:t>IL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47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2003</w:t>
      </w:r>
    </w:p>
    <w:p>
      <w:pPr>
        <w:pStyle w:val="BodyText"/>
        <w:spacing w:before="5"/>
      </w:pPr>
    </w:p>
    <w:p>
      <w:pPr>
        <w:pStyle w:val="Heading2"/>
        <w:spacing w:before="1"/>
      </w:pPr>
      <w:r>
        <w:rPr>
          <w:smallCaps/>
          <w:color w:val="8B0000"/>
          <w:spacing w:val="-2"/>
          <w:w w:val="105"/>
        </w:rPr>
        <w:t>Certifications</w:t>
      </w:r>
    </w:p>
    <w:p>
      <w:pPr>
        <w:pStyle w:val="BodyText"/>
        <w:spacing w:line="254" w:lineRule="auto" w:before="133"/>
        <w:ind w:left="892"/>
      </w:pP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Professional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Healthcare</w:t>
      </w:r>
      <w:r>
        <w:rPr>
          <w:spacing w:val="-6"/>
          <w:w w:val="105"/>
        </w:rPr>
        <w:t> </w:t>
      </w:r>
      <w:r>
        <w:rPr>
          <w:w w:val="105"/>
        </w:rPr>
        <w:t>Quality</w:t>
      </w:r>
      <w:r>
        <w:rPr>
          <w:spacing w:val="-6"/>
          <w:w w:val="105"/>
        </w:rPr>
        <w:t> </w:t>
      </w:r>
      <w:r>
        <w:rPr>
          <w:w w:val="105"/>
        </w:rPr>
        <w:t>(CPHQ)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National</w:t>
      </w:r>
      <w:r>
        <w:rPr>
          <w:spacing w:val="-6"/>
          <w:w w:val="105"/>
        </w:rPr>
        <w:t> </w:t>
      </w:r>
      <w:r>
        <w:rPr>
          <w:w w:val="105"/>
        </w:rPr>
        <w:t>Association</w:t>
      </w:r>
      <w:r>
        <w:rPr>
          <w:spacing w:val="-6"/>
          <w:w w:val="105"/>
        </w:rPr>
        <w:t> </w:t>
      </w:r>
      <w:r>
        <w:rPr>
          <w:w w:val="105"/>
        </w:rPr>
        <w:t>for Healthcare Quality, December 2011</w:t>
      </w:r>
    </w:p>
    <w:sectPr>
      <w:type w:val="continuous"/>
      <w:pgSz w:w="11920" w:h="16860"/>
      <w:pgMar w:top="1140" w:bottom="280" w:left="0" w:right="425"/>
      <w:cols w:num="2" w:equalWidth="0">
        <w:col w:w="3803" w:space="363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76" w:lineRule="exact"/>
      <w:ind w:left="4985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8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2026-03-26T14:56:10Z</dcterms:created>
  <dcterms:modified xsi:type="dcterms:W3CDTF">2026-03-26T14:56:10Z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