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724" w:lineRule="exact" w:before="0"/>
        <w:ind w:left="4100" w:right="2" w:firstLine="0"/>
        <w:jc w:val="center"/>
        <w:rPr>
          <w:sz w:val="74"/>
        </w:rPr>
      </w:pPr>
      <w:r>
        <w:rPr>
          <w:b/>
          <w:color w:val="785E93"/>
          <w:sz w:val="74"/>
        </w:rPr>
        <w:t>Jamie</w:t>
      </w:r>
      <w:r>
        <w:rPr>
          <w:b/>
          <w:color w:val="785E93"/>
          <w:spacing w:val="-3"/>
          <w:sz w:val="74"/>
        </w:rPr>
        <w:t> </w:t>
      </w:r>
      <w:r>
        <w:rPr>
          <w:color w:val="785E93"/>
          <w:spacing w:val="-2"/>
          <w:sz w:val="74"/>
        </w:rPr>
        <w:t>Wilson</w:t>
      </w:r>
    </w:p>
    <w:p>
      <w:pPr>
        <w:tabs>
          <w:tab w:pos="6974" w:val="left" w:leader="none"/>
        </w:tabs>
        <w:spacing w:line="720" w:lineRule="exact" w:before="0"/>
        <w:ind w:left="1282" w:right="0" w:firstLine="0"/>
        <w:jc w:val="left"/>
        <w:rPr>
          <w:sz w:val="22"/>
        </w:rPr>
      </w:pPr>
      <w:r>
        <w:rPr>
          <w:b/>
          <w:color w:val="785E93"/>
          <w:spacing w:val="-5"/>
          <w:position w:val="-23"/>
          <w:sz w:val="74"/>
        </w:rPr>
        <w:t>JW</w:t>
      </w:r>
      <w:r>
        <w:rPr>
          <w:b/>
          <w:color w:val="785E93"/>
          <w:position w:val="-23"/>
          <w:sz w:val="74"/>
        </w:rPr>
        <w:tab/>
      </w:r>
      <w:r>
        <w:rPr>
          <w:color w:val="785E93"/>
          <w:sz w:val="22"/>
        </w:rPr>
        <w:t>Business</w:t>
      </w:r>
      <w:r>
        <w:rPr>
          <w:color w:val="785E93"/>
          <w:spacing w:val="-11"/>
          <w:sz w:val="22"/>
        </w:rPr>
        <w:t> </w:t>
      </w:r>
      <w:r>
        <w:rPr>
          <w:color w:val="785E93"/>
          <w:spacing w:val="-2"/>
          <w:sz w:val="22"/>
        </w:rPr>
        <w:t>Attorney</w:t>
      </w:r>
    </w:p>
    <w:p>
      <w:pPr>
        <w:pStyle w:val="BodyText"/>
        <w:spacing w:line="157" w:lineRule="exact"/>
        <w:ind w:left="4100" w:right="2"/>
        <w:jc w:val="center"/>
      </w:pPr>
      <w:r>
        <w:rPr/>
        <w:t>Strategic</w:t>
      </w:r>
      <w:r>
        <w:rPr>
          <w:spacing w:val="11"/>
        </w:rPr>
        <w:t> </w:t>
      </w:r>
      <w:r>
        <w:rPr/>
        <w:t>business</w:t>
      </w:r>
      <w:r>
        <w:rPr>
          <w:spacing w:val="12"/>
        </w:rPr>
        <w:t> </w:t>
      </w:r>
      <w:r>
        <w:rPr/>
        <w:t>attorney</w:t>
      </w:r>
      <w:r>
        <w:rPr>
          <w:spacing w:val="12"/>
        </w:rPr>
        <w:t> </w:t>
      </w:r>
      <w:r>
        <w:rPr/>
        <w:t>with</w:t>
      </w:r>
      <w:r>
        <w:rPr>
          <w:spacing w:val="12"/>
        </w:rPr>
        <w:t> </w:t>
      </w:r>
      <w:r>
        <w:rPr/>
        <w:t>7+</w:t>
      </w:r>
      <w:r>
        <w:rPr>
          <w:spacing w:val="12"/>
        </w:rPr>
        <w:t> </w:t>
      </w:r>
      <w:r>
        <w:rPr/>
        <w:t>years</w:t>
      </w:r>
      <w:r>
        <w:rPr>
          <w:spacing w:val="11"/>
        </w:rPr>
        <w:t> </w:t>
      </w:r>
      <w:r>
        <w:rPr/>
        <w:t>of</w:t>
      </w:r>
      <w:r>
        <w:rPr>
          <w:spacing w:val="12"/>
        </w:rPr>
        <w:t> </w:t>
      </w:r>
      <w:r>
        <w:rPr/>
        <w:t>experience</w:t>
      </w:r>
      <w:r>
        <w:rPr>
          <w:spacing w:val="12"/>
        </w:rPr>
        <w:t> </w:t>
      </w:r>
      <w:r>
        <w:rPr/>
        <w:t>advising</w:t>
      </w:r>
      <w:r>
        <w:rPr>
          <w:spacing w:val="12"/>
        </w:rPr>
        <w:t> </w:t>
      </w:r>
      <w:r>
        <w:rPr/>
        <w:t>corporate</w:t>
      </w:r>
      <w:r>
        <w:rPr>
          <w:spacing w:val="12"/>
        </w:rPr>
        <w:t> </w:t>
      </w:r>
      <w:r>
        <w:rPr/>
        <w:t>clients</w:t>
      </w:r>
      <w:r>
        <w:rPr>
          <w:spacing w:val="11"/>
        </w:rPr>
        <w:t> </w:t>
      </w:r>
      <w:r>
        <w:rPr>
          <w:spacing w:val="-5"/>
        </w:rPr>
        <w:t>on</w:t>
      </w:r>
    </w:p>
    <w:p>
      <w:pPr>
        <w:pStyle w:val="BodyText"/>
        <w:spacing w:before="33"/>
        <w:ind w:left="4100" w:right="2"/>
        <w:jc w:val="center"/>
      </w:pPr>
      <w:r>
        <w:rPr/>
        <w:t>mergers,</w:t>
      </w:r>
      <w:r>
        <w:rPr>
          <w:spacing w:val="13"/>
        </w:rPr>
        <w:t> </w:t>
      </w:r>
      <w:r>
        <w:rPr/>
        <w:t>contracts,</w:t>
      </w:r>
      <w:r>
        <w:rPr>
          <w:spacing w:val="13"/>
        </w:rPr>
        <w:t> </w:t>
      </w:r>
      <w:r>
        <w:rPr/>
        <w:t>and</w:t>
      </w:r>
      <w:r>
        <w:rPr>
          <w:spacing w:val="14"/>
        </w:rPr>
        <w:t> </w:t>
      </w:r>
      <w:r>
        <w:rPr/>
        <w:t>compliance.</w:t>
      </w:r>
      <w:r>
        <w:rPr>
          <w:spacing w:val="13"/>
        </w:rPr>
        <w:t> </w:t>
      </w:r>
      <w:r>
        <w:rPr/>
        <w:t>Negotiated</w:t>
      </w:r>
      <w:r>
        <w:rPr>
          <w:spacing w:val="14"/>
        </w:rPr>
        <w:t> </w:t>
      </w:r>
      <w:r>
        <w:rPr/>
        <w:t>and</w:t>
      </w:r>
      <w:r>
        <w:rPr>
          <w:spacing w:val="13"/>
        </w:rPr>
        <w:t> </w:t>
      </w:r>
      <w:r>
        <w:rPr/>
        <w:t>closed</w:t>
      </w:r>
      <w:r>
        <w:rPr>
          <w:spacing w:val="14"/>
        </w:rPr>
        <w:t> </w:t>
      </w:r>
      <w:r>
        <w:rPr/>
        <w:t>25</w:t>
      </w:r>
      <w:r>
        <w:rPr>
          <w:spacing w:val="13"/>
        </w:rPr>
        <w:t> </w:t>
      </w:r>
      <w:r>
        <w:rPr/>
        <w:t>M&amp;A</w:t>
      </w:r>
      <w:r>
        <w:rPr>
          <w:spacing w:val="1"/>
        </w:rPr>
        <w:t> </w:t>
      </w:r>
      <w:r>
        <w:rPr/>
        <w:t>transactions</w:t>
      </w:r>
      <w:r>
        <w:rPr>
          <w:spacing w:val="14"/>
        </w:rPr>
        <w:t> </w:t>
      </w:r>
      <w:r>
        <w:rPr>
          <w:spacing w:val="-2"/>
        </w:rPr>
        <w:t>totaling</w:t>
      </w:r>
    </w:p>
    <w:p>
      <w:pPr>
        <w:pStyle w:val="BodyText"/>
        <w:spacing w:line="295" w:lineRule="auto" w:before="48"/>
        <w:ind w:left="4100"/>
        <w:jc w:val="center"/>
      </w:pPr>
      <w:r>
        <w:rPr>
          <w:w w:val="105"/>
        </w:rPr>
        <w:t>$2.5B</w:t>
      </w:r>
      <w:r>
        <w:rPr>
          <w:spacing w:val="-4"/>
          <w:w w:val="105"/>
        </w:rPr>
        <w:t> </w:t>
      </w:r>
      <w:r>
        <w:rPr>
          <w:w w:val="105"/>
        </w:rPr>
        <w:t>delivering</w:t>
      </w:r>
      <w:r>
        <w:rPr>
          <w:spacing w:val="-4"/>
          <w:w w:val="105"/>
        </w:rPr>
        <w:t> </w:t>
      </w:r>
      <w:r>
        <w:rPr>
          <w:w w:val="105"/>
        </w:rPr>
        <w:t>15%</w:t>
      </w:r>
      <w:r>
        <w:rPr>
          <w:spacing w:val="-4"/>
          <w:w w:val="105"/>
        </w:rPr>
        <w:t> </w:t>
      </w:r>
      <w:r>
        <w:rPr>
          <w:w w:val="105"/>
        </w:rPr>
        <w:t>EBITDA</w:t>
      </w:r>
      <w:r>
        <w:rPr>
          <w:spacing w:val="-14"/>
          <w:w w:val="105"/>
        </w:rPr>
        <w:t> </w:t>
      </w:r>
      <w:r>
        <w:rPr>
          <w:w w:val="105"/>
        </w:rPr>
        <w:t>growth,</w:t>
      </w:r>
      <w:r>
        <w:rPr>
          <w:spacing w:val="-3"/>
          <w:w w:val="105"/>
        </w:rPr>
        <w:t> </w:t>
      </w:r>
      <w:r>
        <w:rPr>
          <w:w w:val="105"/>
        </w:rPr>
        <w:t>reduced</w:t>
      </w:r>
      <w:r>
        <w:rPr>
          <w:spacing w:val="-4"/>
          <w:w w:val="105"/>
        </w:rPr>
        <w:t> </w:t>
      </w:r>
      <w:r>
        <w:rPr>
          <w:w w:val="105"/>
        </w:rPr>
        <w:t>regulatory</w:t>
      </w:r>
      <w:r>
        <w:rPr>
          <w:spacing w:val="-4"/>
          <w:w w:val="105"/>
        </w:rPr>
        <w:t> </w:t>
      </w:r>
      <w:r>
        <w:rPr>
          <w:w w:val="105"/>
        </w:rPr>
        <w:t>non-compliance</w:t>
      </w:r>
      <w:r>
        <w:rPr>
          <w:spacing w:val="-4"/>
          <w:w w:val="105"/>
        </w:rPr>
        <w:t> </w:t>
      </w:r>
      <w:r>
        <w:rPr>
          <w:w w:val="105"/>
        </w:rPr>
        <w:t>incidents</w:t>
      </w:r>
      <w:r>
        <w:rPr>
          <w:spacing w:val="-4"/>
          <w:w w:val="105"/>
        </w:rPr>
        <w:t> </w:t>
      </w:r>
      <w:r>
        <w:rPr>
          <w:w w:val="105"/>
        </w:rPr>
        <w:t>by 30%</w:t>
      </w:r>
      <w:r>
        <w:rPr>
          <w:spacing w:val="-14"/>
          <w:w w:val="105"/>
        </w:rPr>
        <w:t> </w:t>
      </w:r>
      <w:r>
        <w:rPr>
          <w:w w:val="105"/>
        </w:rPr>
        <w:t>across</w:t>
      </w:r>
      <w:r>
        <w:rPr>
          <w:spacing w:val="-13"/>
          <w:w w:val="105"/>
        </w:rPr>
        <w:t> </w:t>
      </w:r>
      <w:r>
        <w:rPr>
          <w:w w:val="105"/>
        </w:rPr>
        <w:t>10</w:t>
      </w:r>
      <w:r>
        <w:rPr>
          <w:spacing w:val="-13"/>
          <w:w w:val="105"/>
        </w:rPr>
        <w:t> </w:t>
      </w:r>
      <w:r>
        <w:rPr>
          <w:w w:val="105"/>
        </w:rPr>
        <w:t>subsidiaries,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completed</w:t>
      </w:r>
      <w:r>
        <w:rPr>
          <w:spacing w:val="-13"/>
          <w:w w:val="105"/>
        </w:rPr>
        <w:t> </w:t>
      </w:r>
      <w:r>
        <w:rPr>
          <w:w w:val="105"/>
        </w:rPr>
        <w:t>due</w:t>
      </w:r>
      <w:r>
        <w:rPr>
          <w:spacing w:val="-13"/>
          <w:w w:val="105"/>
        </w:rPr>
        <w:t> </w:t>
      </w:r>
      <w:r>
        <w:rPr>
          <w:w w:val="105"/>
        </w:rPr>
        <w:t>diligence</w:t>
      </w:r>
      <w:r>
        <w:rPr>
          <w:spacing w:val="-14"/>
          <w:w w:val="105"/>
        </w:rPr>
        <w:t> </w:t>
      </w:r>
      <w:r>
        <w:rPr>
          <w:w w:val="105"/>
        </w:rPr>
        <w:t>processes</w:t>
      </w:r>
      <w:r>
        <w:rPr>
          <w:spacing w:val="-13"/>
          <w:w w:val="105"/>
        </w:rPr>
        <w:t> </w:t>
      </w:r>
      <w:r>
        <w:rPr>
          <w:w w:val="105"/>
        </w:rPr>
        <w:t>20%</w:t>
      </w:r>
      <w:r>
        <w:rPr>
          <w:spacing w:val="-13"/>
          <w:w w:val="105"/>
        </w:rPr>
        <w:t> </w:t>
      </w:r>
      <w:r>
        <w:rPr>
          <w:w w:val="105"/>
        </w:rPr>
        <w:t>faster</w:t>
      </w:r>
      <w:r>
        <w:rPr>
          <w:spacing w:val="-13"/>
          <w:w w:val="105"/>
        </w:rPr>
        <w:t> </w:t>
      </w:r>
      <w:r>
        <w:rPr>
          <w:w w:val="105"/>
        </w:rPr>
        <w:t>through streamlined</w:t>
      </w:r>
      <w:r>
        <w:rPr>
          <w:spacing w:val="-2"/>
          <w:w w:val="105"/>
        </w:rPr>
        <w:t> </w:t>
      </w:r>
      <w:r>
        <w:rPr>
          <w:w w:val="105"/>
        </w:rPr>
        <w:t>team</w:t>
      </w:r>
      <w:r>
        <w:rPr>
          <w:spacing w:val="-2"/>
          <w:w w:val="105"/>
        </w:rPr>
        <w:t> </w:t>
      </w:r>
      <w:r>
        <w:rPr>
          <w:w w:val="105"/>
        </w:rPr>
        <w:t>workﬂows.</w:t>
      </w:r>
      <w:r>
        <w:rPr>
          <w:spacing w:val="-2"/>
          <w:w w:val="105"/>
        </w:rPr>
        <w:t> </w:t>
      </w:r>
      <w:r>
        <w:rPr>
          <w:w w:val="105"/>
        </w:rPr>
        <w:t>Proven</w:t>
      </w:r>
      <w:r>
        <w:rPr>
          <w:spacing w:val="-2"/>
          <w:w w:val="105"/>
        </w:rPr>
        <w:t> </w:t>
      </w:r>
      <w:r>
        <w:rPr>
          <w:w w:val="105"/>
        </w:rPr>
        <w:t>ability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lead</w:t>
      </w:r>
      <w:r>
        <w:rPr>
          <w:spacing w:val="-2"/>
          <w:w w:val="105"/>
        </w:rPr>
        <w:t> </w:t>
      </w:r>
      <w:r>
        <w:rPr>
          <w:w w:val="105"/>
        </w:rPr>
        <w:t>cross-functional</w:t>
      </w:r>
      <w:r>
        <w:rPr>
          <w:spacing w:val="-2"/>
          <w:w w:val="105"/>
        </w:rPr>
        <w:t> </w:t>
      </w:r>
      <w:r>
        <w:rPr>
          <w:w w:val="105"/>
        </w:rPr>
        <w:t>legal</w:t>
      </w:r>
      <w:r>
        <w:rPr>
          <w:spacing w:val="-2"/>
          <w:w w:val="105"/>
        </w:rPr>
        <w:t> </w:t>
      </w:r>
      <w:r>
        <w:rPr>
          <w:w w:val="105"/>
        </w:rPr>
        <w:t>teams</w:t>
      </w:r>
      <w:r>
        <w:rPr>
          <w:spacing w:val="-2"/>
          <w:w w:val="105"/>
        </w:rPr>
        <w:t> </w:t>
      </w:r>
      <w:r>
        <w:rPr>
          <w:w w:val="105"/>
        </w:rPr>
        <w:t>and manage complex cross-border transactions.</w:t>
      </w:r>
    </w:p>
    <w:p>
      <w:pPr>
        <w:pStyle w:val="BodyText"/>
        <w:spacing w:before="6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1000" w:bottom="280" w:left="141" w:right="141"/>
        </w:sectPr>
      </w:pPr>
    </w:p>
    <w:p>
      <w:pPr>
        <w:pStyle w:val="Heading1"/>
        <w:spacing w:before="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147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33362" y="5972174"/>
                            <a:ext cx="47625" cy="289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895600">
                                <a:moveTo>
                                  <a:pt x="47625" y="2868447"/>
                                </a:moveTo>
                                <a:lnTo>
                                  <a:pt x="27165" y="2847975"/>
                                </a:lnTo>
                                <a:lnTo>
                                  <a:pt x="20472" y="2847975"/>
                                </a:lnTo>
                                <a:lnTo>
                                  <a:pt x="0" y="2868447"/>
                                </a:lnTo>
                                <a:lnTo>
                                  <a:pt x="0" y="2872016"/>
                                </a:lnTo>
                                <a:lnTo>
                                  <a:pt x="0" y="2875140"/>
                                </a:lnTo>
                                <a:lnTo>
                                  <a:pt x="20472" y="2895600"/>
                                </a:lnTo>
                                <a:lnTo>
                                  <a:pt x="27165" y="2895600"/>
                                </a:lnTo>
                                <a:lnTo>
                                  <a:pt x="47625" y="2875140"/>
                                </a:lnTo>
                                <a:lnTo>
                                  <a:pt x="47625" y="2868447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2516009"/>
                                </a:moveTo>
                                <a:lnTo>
                                  <a:pt x="27165" y="2495550"/>
                                </a:lnTo>
                                <a:lnTo>
                                  <a:pt x="20472" y="2495550"/>
                                </a:lnTo>
                                <a:lnTo>
                                  <a:pt x="0" y="2516009"/>
                                </a:lnTo>
                                <a:lnTo>
                                  <a:pt x="0" y="2519591"/>
                                </a:lnTo>
                                <a:lnTo>
                                  <a:pt x="0" y="2522715"/>
                                </a:lnTo>
                                <a:lnTo>
                                  <a:pt x="20472" y="2543175"/>
                                </a:lnTo>
                                <a:lnTo>
                                  <a:pt x="27165" y="2543175"/>
                                </a:lnTo>
                                <a:lnTo>
                                  <a:pt x="47625" y="2522715"/>
                                </a:lnTo>
                                <a:lnTo>
                                  <a:pt x="47625" y="2516009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1801647"/>
                                </a:moveTo>
                                <a:lnTo>
                                  <a:pt x="27165" y="1781175"/>
                                </a:lnTo>
                                <a:lnTo>
                                  <a:pt x="20472" y="1781175"/>
                                </a:lnTo>
                                <a:lnTo>
                                  <a:pt x="0" y="1801647"/>
                                </a:lnTo>
                                <a:lnTo>
                                  <a:pt x="0" y="1805216"/>
                                </a:lnTo>
                                <a:lnTo>
                                  <a:pt x="0" y="1808340"/>
                                </a:lnTo>
                                <a:lnTo>
                                  <a:pt x="20472" y="1828800"/>
                                </a:lnTo>
                                <a:lnTo>
                                  <a:pt x="27165" y="1828800"/>
                                </a:lnTo>
                                <a:lnTo>
                                  <a:pt x="47625" y="1808340"/>
                                </a:lnTo>
                                <a:lnTo>
                                  <a:pt x="47625" y="1801647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378485"/>
                                </a:moveTo>
                                <a:lnTo>
                                  <a:pt x="31102" y="361950"/>
                                </a:lnTo>
                                <a:lnTo>
                                  <a:pt x="16535" y="361950"/>
                                </a:lnTo>
                                <a:lnTo>
                                  <a:pt x="0" y="378485"/>
                                </a:lnTo>
                                <a:lnTo>
                                  <a:pt x="0" y="381000"/>
                                </a:lnTo>
                                <a:lnTo>
                                  <a:pt x="0" y="383527"/>
                                </a:lnTo>
                                <a:lnTo>
                                  <a:pt x="16535" y="400050"/>
                                </a:lnTo>
                                <a:lnTo>
                                  <a:pt x="31102" y="400050"/>
                                </a:lnTo>
                                <a:lnTo>
                                  <a:pt x="47625" y="383527"/>
                                </a:lnTo>
                                <a:lnTo>
                                  <a:pt x="47625" y="378485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562224"/>
                            <a:ext cx="47148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19050">
                                <a:moveTo>
                                  <a:pt x="47148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52762" y="3562349"/>
                            <a:ext cx="47625" cy="508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5086350">
                                <a:moveTo>
                                  <a:pt x="47625" y="5059197"/>
                                </a:moveTo>
                                <a:lnTo>
                                  <a:pt x="27165" y="5038725"/>
                                </a:lnTo>
                                <a:lnTo>
                                  <a:pt x="20472" y="5038725"/>
                                </a:lnTo>
                                <a:lnTo>
                                  <a:pt x="0" y="5059197"/>
                                </a:lnTo>
                                <a:lnTo>
                                  <a:pt x="0" y="5062766"/>
                                </a:lnTo>
                                <a:lnTo>
                                  <a:pt x="0" y="5065890"/>
                                </a:lnTo>
                                <a:lnTo>
                                  <a:pt x="20472" y="5086350"/>
                                </a:lnTo>
                                <a:lnTo>
                                  <a:pt x="27165" y="5086350"/>
                                </a:lnTo>
                                <a:lnTo>
                                  <a:pt x="47625" y="5065890"/>
                                </a:lnTo>
                                <a:lnTo>
                                  <a:pt x="47625" y="5059197"/>
                                </a:lnTo>
                                <a:close/>
                              </a:path>
                              <a:path w="47625" h="5086350">
                                <a:moveTo>
                                  <a:pt x="47625" y="4554372"/>
                                </a:moveTo>
                                <a:lnTo>
                                  <a:pt x="27165" y="4533900"/>
                                </a:lnTo>
                                <a:lnTo>
                                  <a:pt x="20472" y="4533900"/>
                                </a:lnTo>
                                <a:lnTo>
                                  <a:pt x="0" y="4554372"/>
                                </a:lnTo>
                                <a:lnTo>
                                  <a:pt x="0" y="4557941"/>
                                </a:lnTo>
                                <a:lnTo>
                                  <a:pt x="0" y="4561065"/>
                                </a:lnTo>
                                <a:lnTo>
                                  <a:pt x="20472" y="4581525"/>
                                </a:lnTo>
                                <a:lnTo>
                                  <a:pt x="27165" y="4581525"/>
                                </a:lnTo>
                                <a:lnTo>
                                  <a:pt x="47625" y="4561065"/>
                                </a:lnTo>
                                <a:lnTo>
                                  <a:pt x="47625" y="4554372"/>
                                </a:lnTo>
                                <a:close/>
                              </a:path>
                              <a:path w="47625" h="5086350">
                                <a:moveTo>
                                  <a:pt x="47625" y="4049547"/>
                                </a:moveTo>
                                <a:lnTo>
                                  <a:pt x="27165" y="4029075"/>
                                </a:lnTo>
                                <a:lnTo>
                                  <a:pt x="20472" y="4029075"/>
                                </a:lnTo>
                                <a:lnTo>
                                  <a:pt x="0" y="4049547"/>
                                </a:lnTo>
                                <a:lnTo>
                                  <a:pt x="0" y="4053116"/>
                                </a:lnTo>
                                <a:lnTo>
                                  <a:pt x="0" y="4056240"/>
                                </a:lnTo>
                                <a:lnTo>
                                  <a:pt x="20472" y="4076700"/>
                                </a:lnTo>
                                <a:lnTo>
                                  <a:pt x="27165" y="4076700"/>
                                </a:lnTo>
                                <a:lnTo>
                                  <a:pt x="47625" y="4056240"/>
                                </a:lnTo>
                                <a:lnTo>
                                  <a:pt x="47625" y="4049547"/>
                                </a:lnTo>
                                <a:close/>
                              </a:path>
                              <a:path w="47625" h="5086350">
                                <a:moveTo>
                                  <a:pt x="47625" y="3544722"/>
                                </a:moveTo>
                                <a:lnTo>
                                  <a:pt x="27165" y="3524250"/>
                                </a:lnTo>
                                <a:lnTo>
                                  <a:pt x="20472" y="3524250"/>
                                </a:lnTo>
                                <a:lnTo>
                                  <a:pt x="0" y="3544722"/>
                                </a:lnTo>
                                <a:lnTo>
                                  <a:pt x="0" y="3548291"/>
                                </a:lnTo>
                                <a:lnTo>
                                  <a:pt x="0" y="3551415"/>
                                </a:lnTo>
                                <a:lnTo>
                                  <a:pt x="20472" y="3571875"/>
                                </a:lnTo>
                                <a:lnTo>
                                  <a:pt x="27165" y="3571875"/>
                                </a:lnTo>
                                <a:lnTo>
                                  <a:pt x="47625" y="3551415"/>
                                </a:lnTo>
                                <a:lnTo>
                                  <a:pt x="47625" y="3544722"/>
                                </a:lnTo>
                                <a:close/>
                              </a:path>
                              <a:path w="47625" h="5086350">
                                <a:moveTo>
                                  <a:pt x="47625" y="2544597"/>
                                </a:moveTo>
                                <a:lnTo>
                                  <a:pt x="27165" y="2524125"/>
                                </a:lnTo>
                                <a:lnTo>
                                  <a:pt x="20472" y="2524125"/>
                                </a:lnTo>
                                <a:lnTo>
                                  <a:pt x="0" y="2544597"/>
                                </a:lnTo>
                                <a:lnTo>
                                  <a:pt x="0" y="2548166"/>
                                </a:lnTo>
                                <a:lnTo>
                                  <a:pt x="0" y="2551290"/>
                                </a:lnTo>
                                <a:lnTo>
                                  <a:pt x="20472" y="2571750"/>
                                </a:lnTo>
                                <a:lnTo>
                                  <a:pt x="27165" y="2571750"/>
                                </a:lnTo>
                                <a:lnTo>
                                  <a:pt x="47625" y="2551290"/>
                                </a:lnTo>
                                <a:lnTo>
                                  <a:pt x="47625" y="2544597"/>
                                </a:lnTo>
                                <a:close/>
                              </a:path>
                              <a:path w="47625" h="5086350">
                                <a:moveTo>
                                  <a:pt x="47625" y="2039772"/>
                                </a:moveTo>
                                <a:lnTo>
                                  <a:pt x="27165" y="2019300"/>
                                </a:lnTo>
                                <a:lnTo>
                                  <a:pt x="20472" y="2019300"/>
                                </a:lnTo>
                                <a:lnTo>
                                  <a:pt x="0" y="2039772"/>
                                </a:lnTo>
                                <a:lnTo>
                                  <a:pt x="0" y="2043341"/>
                                </a:lnTo>
                                <a:lnTo>
                                  <a:pt x="0" y="2046465"/>
                                </a:lnTo>
                                <a:lnTo>
                                  <a:pt x="20472" y="2066925"/>
                                </a:lnTo>
                                <a:lnTo>
                                  <a:pt x="27165" y="2066925"/>
                                </a:lnTo>
                                <a:lnTo>
                                  <a:pt x="47625" y="2046465"/>
                                </a:lnTo>
                                <a:lnTo>
                                  <a:pt x="47625" y="2039772"/>
                                </a:lnTo>
                                <a:close/>
                              </a:path>
                              <a:path w="47625" h="508635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5086350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5086350">
                                <a:moveTo>
                                  <a:pt x="47625" y="525297"/>
                                </a:moveTo>
                                <a:lnTo>
                                  <a:pt x="27165" y="504825"/>
                                </a:lnTo>
                                <a:lnTo>
                                  <a:pt x="20472" y="504825"/>
                                </a:lnTo>
                                <a:lnTo>
                                  <a:pt x="0" y="525297"/>
                                </a:lnTo>
                                <a:lnTo>
                                  <a:pt x="0" y="528866"/>
                                </a:lnTo>
                                <a:lnTo>
                                  <a:pt x="0" y="531990"/>
                                </a:lnTo>
                                <a:lnTo>
                                  <a:pt x="20472" y="552450"/>
                                </a:lnTo>
                                <a:lnTo>
                                  <a:pt x="27165" y="552450"/>
                                </a:lnTo>
                                <a:lnTo>
                                  <a:pt x="47625" y="531990"/>
                                </a:lnTo>
                                <a:lnTo>
                                  <a:pt x="47625" y="525297"/>
                                </a:lnTo>
                                <a:close/>
                              </a:path>
                              <a:path w="47625" h="50863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472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785e93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705;top:4680;width:317;height:317" type="#_x0000_t75" id="docshape5" stroked="false">
                  <v:imagedata r:id="rId6" o:title=""/>
                </v:shape>
                <v:shape style="position:absolute;left:725;top:5100;width:275;height:317" type="#_x0000_t75" id="docshape6" stroked="false">
                  <v:imagedata r:id="rId7" o:title=""/>
                </v:shape>
                <v:shape style="position:absolute;left:706;top:5535;width:315;height:317" type="#_x0000_t75" id="docshape7" stroked="false">
                  <v:imagedata r:id="rId8" o:title=""/>
                </v:shape>
                <v:shape style="position:absolute;left:524;top:9405;width:75;height:4560" id="docshape8" coordorigin="525,9405" coordsize="75,4560" path="m600,13922l599,13917,595,13908,593,13904,586,13897,582,13895,573,13891,568,13890,557,13890,552,13891,543,13895,539,13897,532,13904,530,13908,526,13917,525,13922,525,13928,525,13933,526,13938,530,13947,532,13951,539,13958,543,13960,552,13964,557,13965,568,13965,573,13964,582,13960,586,13958,593,13951,595,13947,599,13938,600,13933,600,13922xm600,13367l599,13362,595,13353,593,13349,586,13342,582,13340,573,13336,568,13335,557,13335,552,13336,543,13340,539,13342,532,13349,530,13353,526,13362,525,13367,525,13373,525,13378,526,13383,530,13392,532,13396,539,13403,543,13405,552,13409,557,13410,568,13410,573,13409,582,13405,586,13403,593,13396,595,13392,599,13383,600,13378,600,13367xm600,12797l599,12792,595,12783,593,12779,586,12772,582,12770,573,12766,568,12765,557,12765,552,12766,543,12770,539,12772,532,12779,530,12783,526,12792,525,12797,525,12803,525,12808,526,12813,530,12822,532,12826,539,12833,543,12835,552,12839,557,12840,568,12840,573,12839,582,12835,586,12833,593,12826,595,12822,599,12813,600,12808,600,12797xm600,12242l599,12237,595,12228,593,12224,586,12217,582,12215,573,12211,568,12210,557,12210,552,12211,543,12215,539,12217,532,12224,530,12228,526,12237,525,12242,525,12248,525,12253,526,12258,530,12267,532,12271,539,12278,543,12280,552,12284,557,12285,568,12285,573,12284,582,12280,586,12278,593,12271,595,12267,599,12258,600,12253,600,12242xm600,11687l599,11682,595,11673,593,11669,586,11662,582,11660,573,11656,568,11655,557,11655,552,11656,543,11660,539,11662,532,11669,530,11673,526,11682,525,11687,525,11693,525,11698,526,11703,530,11712,532,11716,539,11723,543,11725,552,11729,557,11730,568,11730,573,11729,582,11725,586,11723,593,11716,595,11712,599,11703,600,11698,600,11687xm600,11117l599,11112,595,11103,593,11099,586,11092,582,11090,573,11086,568,11085,557,11085,552,11086,543,11090,539,11092,532,11099,530,11103,526,11112,525,11117,525,11123,525,11128,526,11133,530,11142,532,11146,539,11153,543,11155,552,11159,557,11160,568,11160,573,11159,582,11155,586,11153,593,11146,595,11142,599,11133,600,11128,600,11117xm600,10562l599,10557,595,10548,593,10544,586,10537,582,10535,573,10531,568,10530,557,10530,552,10531,543,10535,539,10537,532,10544,530,10548,526,10557,525,10562,525,10568,525,10573,526,10578,530,10587,532,10591,539,10598,543,10600,552,10604,557,10605,568,10605,573,10604,582,10600,586,10598,593,10591,595,10587,599,10578,600,10573,600,10562xm600,10001l599,9997,596,9990,594,9987,588,9981,585,9979,578,9976,574,9975,551,9975,547,9976,540,9979,537,9981,531,9987,529,9990,526,9997,525,10001,525,10005,525,10009,526,10013,529,10020,531,10023,537,10029,540,10031,547,10034,551,10035,574,10035,578,10034,585,10031,588,10029,594,10023,596,10020,599,10013,600,10009,600,10001xm600,9437l599,9432,595,9423,593,9419,586,9412,582,9410,573,9406,568,9405,557,9405,552,9406,543,9410,539,9412,532,9419,530,9423,526,9432,525,9437,525,9443,525,9448,526,9453,530,9462,532,9466,539,9473,543,9475,552,9479,557,9480,568,9480,573,9479,582,9475,586,9473,593,9466,595,9462,599,9453,600,9448,600,9437xe" filled="true" fillcolor="#000000" stroked="false">
                  <v:path arrowok="t"/>
                  <v:fill type="solid"/>
                </v:shape>
                <v:rect style="position:absolute;left:4095;top:4035;width:7425;height:30" id="docshape9" filled="true" fillcolor="#785e93" stroked="false">
                  <v:fill type="solid"/>
                </v:rect>
                <v:shape style="position:absolute;left:4964;top:5610;width:75;height:8010" id="docshape10" coordorigin="4965,5610" coordsize="75,8010" path="m5040,13577l5039,13572,5035,13563,5033,13559,5026,13552,5022,13550,5013,13546,5008,13545,4997,13545,4992,13546,4983,13550,4979,13552,4972,13559,4970,13563,4966,13572,4965,13577,4965,13583,4965,13588,4966,13593,4970,13602,4972,13606,4979,13613,4983,13615,4992,13619,4997,13620,5008,13620,5013,13619,5022,13615,5026,13613,5033,13606,5035,13602,5039,13593,5040,13588,5040,13577xm5040,12782l5039,12777,5035,12768,5033,12764,5026,12757,5022,12755,5013,12751,5008,12750,4997,12750,4992,12751,4983,12755,4979,12757,4972,12764,4970,12768,4966,12777,4965,12782,4965,12788,4965,12793,4966,12798,4970,12807,4972,12811,4979,12818,4983,12820,4992,12824,4997,12825,5008,12825,5013,12824,5022,12820,5026,12818,5033,12811,5035,12807,5039,12798,5040,12793,5040,12782xm5040,11987l5039,11982,5035,11973,5033,11969,5026,11962,5022,11960,5013,11956,5008,11955,4997,11955,4992,11956,4983,11960,4979,11962,4972,11969,4970,11973,4966,11982,4965,11987,4965,11993,4965,11998,4966,12003,4970,12012,4972,12016,4979,12023,4983,12025,4992,12029,4997,12030,5008,12030,5013,12029,5022,12025,5026,12023,5033,12016,5035,12012,5039,12003,5040,11998,5040,11987xm5040,11192l5039,11187,5035,11178,5033,11174,5026,11167,5022,11165,5013,11161,5008,11160,4997,11160,4992,11161,4983,11165,4979,11167,4972,11174,4970,11178,4966,11187,4965,11192,4965,11198,4965,11203,4966,11208,4970,11217,4972,11221,4979,11228,4983,11230,4992,11234,4997,11235,5008,11235,5013,11234,5022,11230,5026,11228,5033,11221,5035,11217,5039,11208,5040,11203,5040,11192xm5040,9617l5039,9612,5035,9603,5033,9599,5026,9592,5022,9590,5013,9586,5008,9585,4997,9585,4992,9586,4983,9590,4979,9592,4972,9599,4970,9603,4966,9612,4965,9617,4965,9623,4965,9628,4966,9633,4970,9642,4972,9646,4979,9653,4983,9655,4992,9659,4997,9660,5008,9660,5013,9659,5022,9655,5026,9653,5033,9646,5035,9642,5039,9633,5040,9628,5040,9617xm5040,8822l5039,8817,5035,8808,5033,8804,5026,8797,5022,8795,5013,8791,5008,8790,4997,8790,4992,8791,4983,8795,4979,8797,4972,8804,4970,8808,4966,8817,4965,8822,4965,8828,4965,8833,4966,8838,4970,8847,4972,8851,4979,8858,4983,8860,4992,8864,4997,8865,5008,8865,5013,8864,5022,8860,5026,8858,5033,8851,5035,8847,5039,8838,5040,8833,5040,8822xm5040,8027l5039,8022,5035,8013,5033,8009,5026,8002,5022,8000,5013,7996,5008,7995,4997,7995,4992,7996,4983,8000,4979,8002,4972,8009,4970,8013,4966,8022,4965,8027,4965,8033,4965,8038,4966,8043,4970,8052,4972,8056,4979,8063,4983,8065,4992,8069,4997,8070,5008,8070,5013,8069,5022,8065,5026,8063,5033,8056,5035,8052,5039,8043,5040,8038,5040,8027xm5040,7232l5039,7227,5035,7218,5033,7214,5026,7207,5022,7205,5013,7201,5008,7200,4997,7200,4992,7201,4983,7205,4979,7207,4972,7214,4970,7218,4966,7227,4965,7232,4965,7238,4965,7243,4966,7248,4970,7257,4972,7261,4979,7268,4983,7270,4992,7274,4997,7275,5008,7275,5013,7274,5022,7270,5026,7268,5033,7261,5035,7257,5039,7248,5040,7243,5040,7232xm5040,6437l5039,6432,5035,6423,5033,6419,5026,6412,5022,6410,5013,6406,5008,6405,4997,6405,4992,6406,4983,6410,4979,6412,4972,6419,4970,6423,4966,6432,4965,6437,4965,6443,4965,6448,4966,6453,4970,6462,4972,6466,4979,6473,4983,6475,4992,6479,4997,6480,5008,6480,5013,6479,5022,6475,5026,6473,5033,6466,5035,6462,5039,6453,5040,6448,5040,6437xm5040,5642l5039,5637,5035,5628,5033,5624,5026,5617,5022,5615,5013,5611,5008,5610,4997,5610,4992,5611,4983,5615,4979,5617,4972,5624,4970,5628,4966,5637,4965,5642,4965,5648,4965,5653,4966,5658,4970,5667,4972,5671,4979,5678,4983,5680,4992,5684,4997,5685,5008,5685,5013,5684,5022,5680,5026,5678,5033,5671,5035,5667,5039,5658,5040,5653,5040,56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785E93"/>
          <w:spacing w:val="-2"/>
          <w:w w:val="105"/>
        </w:rPr>
        <w:t>Contact</w:t>
      </w:r>
      <w:r>
        <w:rPr>
          <w:smallCaps/>
          <w:color w:val="785E93"/>
          <w:spacing w:val="-7"/>
          <w:w w:val="105"/>
        </w:rPr>
        <w:t> </w:t>
      </w:r>
      <w:r>
        <w:rPr>
          <w:smallCaps/>
          <w:color w:val="785E93"/>
          <w:spacing w:val="-2"/>
          <w:w w:val="105"/>
        </w:rPr>
        <w:t>Information</w:t>
      </w:r>
    </w:p>
    <w:p>
      <w:pPr>
        <w:pStyle w:val="BodyText"/>
        <w:spacing w:before="125"/>
        <w:rPr>
          <w:b/>
          <w:sz w:val="16"/>
        </w:rPr>
      </w:pPr>
    </w:p>
    <w:p>
      <w:pPr>
        <w:spacing w:before="1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(555)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000-</w:t>
      </w:r>
      <w:r>
        <w:rPr>
          <w:color w:val="1F1F1F"/>
          <w:spacing w:val="-4"/>
          <w:sz w:val="20"/>
        </w:rPr>
        <w:t>0000</w:t>
      </w:r>
    </w:p>
    <w:p>
      <w:pPr>
        <w:spacing w:line="453" w:lineRule="auto" w:before="190"/>
        <w:ind w:left="1012" w:right="352" w:firstLine="0"/>
        <w:jc w:val="left"/>
        <w:rPr>
          <w:sz w:val="20"/>
        </w:rPr>
      </w:pPr>
      <w:hyperlink r:id="rId9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City, ST</w:t>
      </w:r>
    </w:p>
    <w:p>
      <w:pPr>
        <w:pStyle w:val="BodyText"/>
        <w:spacing w:before="190"/>
        <w:rPr>
          <w:sz w:val="20"/>
        </w:rPr>
      </w:pPr>
    </w:p>
    <w:p>
      <w:pPr>
        <w:pStyle w:val="Heading1"/>
      </w:pPr>
      <w:r>
        <w:rPr>
          <w:smallCaps/>
          <w:color w:val="785E93"/>
          <w:spacing w:val="-2"/>
          <w:w w:val="105"/>
        </w:rPr>
        <w:t>Education</w:t>
      </w:r>
    </w:p>
    <w:p>
      <w:pPr>
        <w:pStyle w:val="BodyText"/>
        <w:spacing w:before="100"/>
        <w:rPr>
          <w:b/>
          <w:sz w:val="16"/>
        </w:rPr>
      </w:pPr>
    </w:p>
    <w:p>
      <w:pPr>
        <w:pStyle w:val="BodyText"/>
        <w:spacing w:line="278" w:lineRule="auto"/>
        <w:ind w:left="380" w:right="352"/>
      </w:pPr>
      <w:r>
        <w:rPr>
          <w:w w:val="105"/>
        </w:rPr>
        <w:t>Juris</w:t>
      </w:r>
      <w:r>
        <w:rPr>
          <w:spacing w:val="-10"/>
          <w:w w:val="105"/>
        </w:rPr>
        <w:t> </w:t>
      </w:r>
      <w:r>
        <w:rPr>
          <w:w w:val="105"/>
        </w:rPr>
        <w:t>Doctor</w:t>
      </w:r>
      <w:r>
        <w:rPr>
          <w:spacing w:val="-10"/>
          <w:w w:val="105"/>
        </w:rPr>
        <w:t> </w:t>
      </w:r>
      <w:r>
        <w:rPr>
          <w:w w:val="105"/>
        </w:rPr>
        <w:t>(J.D.)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May</w:t>
      </w:r>
      <w:r>
        <w:rPr>
          <w:spacing w:val="-10"/>
          <w:w w:val="105"/>
        </w:rPr>
        <w:t> </w:t>
      </w:r>
      <w:r>
        <w:rPr>
          <w:w w:val="105"/>
        </w:rPr>
        <w:t>2015 </w:t>
      </w:r>
      <w:r>
        <w:rPr>
          <w:spacing w:val="-2"/>
          <w:w w:val="105"/>
        </w:rPr>
        <w:t>Prestige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Law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6"/>
          <w:w w:val="105"/>
        </w:rPr>
        <w:t> </w:t>
      </w:r>
      <w:r>
        <w:rPr>
          <w:spacing w:val="-7"/>
          <w:w w:val="105"/>
        </w:rPr>
        <w:t>ST</w:t>
      </w:r>
    </w:p>
    <w:p>
      <w:pPr>
        <w:pStyle w:val="BodyText"/>
        <w:spacing w:before="48"/>
      </w:pPr>
    </w:p>
    <w:p>
      <w:pPr>
        <w:pStyle w:val="BodyText"/>
        <w:spacing w:line="261" w:lineRule="auto"/>
        <w:ind w:left="380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Finance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May </w:t>
      </w:r>
      <w:r>
        <w:rPr>
          <w:spacing w:val="-4"/>
          <w:w w:val="105"/>
        </w:rPr>
        <w:t>2012</w:t>
      </w:r>
    </w:p>
    <w:p>
      <w:pPr>
        <w:pStyle w:val="BodyText"/>
        <w:spacing w:before="14"/>
        <w:ind w:left="380"/>
      </w:pPr>
      <w:r>
        <w:rPr>
          <w:spacing w:val="-2"/>
          <w:w w:val="105"/>
        </w:rPr>
        <w:t>State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</w:pPr>
    </w:p>
    <w:p>
      <w:pPr>
        <w:pStyle w:val="BodyText"/>
        <w:spacing w:before="65"/>
      </w:pPr>
    </w:p>
    <w:p>
      <w:pPr>
        <w:pStyle w:val="Heading1"/>
      </w:pPr>
      <w:r>
        <w:rPr>
          <w:smallCaps/>
          <w:color w:val="785E93"/>
          <w:w w:val="105"/>
        </w:rPr>
        <w:t>Key </w:t>
      </w:r>
      <w:r>
        <w:rPr>
          <w:smallCaps/>
          <w:color w:val="785E93"/>
          <w:spacing w:val="-2"/>
          <w:w w:val="105"/>
        </w:rPr>
        <w:t>Skills</w:t>
      </w:r>
    </w:p>
    <w:p>
      <w:pPr>
        <w:pStyle w:val="BodyText"/>
        <w:spacing w:before="100"/>
        <w:rPr>
          <w:b/>
          <w:sz w:val="16"/>
        </w:rPr>
      </w:pPr>
    </w:p>
    <w:p>
      <w:pPr>
        <w:pStyle w:val="BodyText"/>
        <w:spacing w:line="278" w:lineRule="auto"/>
        <w:ind w:left="678"/>
      </w:pPr>
      <w:r>
        <w:rPr>
          <w:spacing w:val="-2"/>
          <w:w w:val="105"/>
        </w:rPr>
        <w:t>M&amp;A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negotiation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transaction closing</w:t>
      </w:r>
    </w:p>
    <w:p>
      <w:pPr>
        <w:pStyle w:val="BodyText"/>
        <w:spacing w:line="261" w:lineRule="auto" w:before="90"/>
        <w:ind w:left="678"/>
      </w:pPr>
      <w:r>
        <w:rPr>
          <w:spacing w:val="-2"/>
          <w:w w:val="105"/>
        </w:rPr>
        <w:t>Corporate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governance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policy drafting</w:t>
      </w:r>
    </w:p>
    <w:p>
      <w:pPr>
        <w:pStyle w:val="BodyText"/>
        <w:spacing w:line="278" w:lineRule="auto" w:before="103"/>
        <w:ind w:left="678"/>
      </w:pPr>
      <w:r>
        <w:rPr>
          <w:spacing w:val="-2"/>
          <w:w w:val="105"/>
        </w:rPr>
        <w:t>Cross-border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transaction management</w:t>
      </w:r>
    </w:p>
    <w:p>
      <w:pPr>
        <w:pStyle w:val="BodyText"/>
        <w:spacing w:line="278" w:lineRule="auto" w:before="75"/>
        <w:ind w:left="678"/>
      </w:pPr>
      <w:r>
        <w:rPr>
          <w:spacing w:val="-2"/>
          <w:w w:val="105"/>
        </w:rPr>
        <w:t>Due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diligence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team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leadership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and coordination</w:t>
      </w:r>
    </w:p>
    <w:p>
      <w:pPr>
        <w:pStyle w:val="BodyText"/>
        <w:spacing w:line="261" w:lineRule="auto" w:before="90"/>
        <w:ind w:left="678"/>
      </w:pPr>
      <w:r>
        <w:rPr>
          <w:w w:val="105"/>
        </w:rPr>
        <w:t>Asset-purchase and share-</w:t>
      </w:r>
      <w:r>
        <w:rPr/>
        <w:t>purchase</w:t>
      </w:r>
      <w:r>
        <w:rPr>
          <w:spacing w:val="17"/>
        </w:rPr>
        <w:t> </w:t>
      </w:r>
      <w:r>
        <w:rPr/>
        <w:t>agreement</w:t>
      </w:r>
      <w:r>
        <w:rPr>
          <w:spacing w:val="18"/>
        </w:rPr>
        <w:t> </w:t>
      </w:r>
      <w:r>
        <w:rPr>
          <w:spacing w:val="-2"/>
        </w:rPr>
        <w:t>drafting</w:t>
      </w:r>
    </w:p>
    <w:p>
      <w:pPr>
        <w:pStyle w:val="BodyText"/>
        <w:spacing w:line="278" w:lineRule="auto" w:before="104"/>
        <w:ind w:left="678"/>
      </w:pPr>
      <w:r>
        <w:rPr>
          <w:spacing w:val="-2"/>
          <w:w w:val="105"/>
        </w:rPr>
        <w:t>Joint-venture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structuring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strategic alliances</w:t>
      </w:r>
    </w:p>
    <w:p>
      <w:pPr>
        <w:pStyle w:val="BodyText"/>
        <w:spacing w:line="278" w:lineRule="auto" w:before="75"/>
        <w:ind w:left="678"/>
      </w:pPr>
      <w:r>
        <w:rPr>
          <w:spacing w:val="-2"/>
          <w:w w:val="105"/>
        </w:rPr>
        <w:t>Regulatory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compliance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risk mitigation</w:t>
      </w:r>
    </w:p>
    <w:p>
      <w:pPr>
        <w:pStyle w:val="BodyText"/>
        <w:spacing w:line="261" w:lineRule="auto" w:before="89"/>
        <w:ind w:left="678"/>
      </w:pPr>
      <w:r>
        <w:rPr>
          <w:spacing w:val="-2"/>
          <w:w w:val="105"/>
        </w:rPr>
        <w:t>Private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equity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capital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markets counsel</w:t>
      </w:r>
    </w:p>
    <w:p>
      <w:pPr>
        <w:pStyle w:val="BodyText"/>
        <w:spacing w:line="278" w:lineRule="auto" w:before="104"/>
        <w:ind w:left="678"/>
      </w:pPr>
      <w:r>
        <w:rPr>
          <w:spacing w:val="-2"/>
          <w:w w:val="105"/>
        </w:rPr>
        <w:t>Contract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review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ﬁrst-draft documentation</w:t>
      </w:r>
    </w:p>
    <w:p>
      <w:pPr>
        <w:pStyle w:val="BodyText"/>
        <w:spacing w:before="126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Heading1"/>
        <w:spacing w:before="1"/>
        <w:ind w:left="0" w:right="4954"/>
        <w:jc w:val="right"/>
      </w:pPr>
      <w:r>
        <w:rPr>
          <w:smallCaps/>
          <w:color w:val="785E93"/>
          <w:spacing w:val="-2"/>
          <w:w w:val="105"/>
        </w:rPr>
        <w:t>Professional</w:t>
      </w:r>
      <w:r>
        <w:rPr>
          <w:smallCaps/>
          <w:color w:val="785E93"/>
          <w:spacing w:val="6"/>
          <w:w w:val="105"/>
        </w:rPr>
        <w:t> </w:t>
      </w:r>
      <w:r>
        <w:rPr>
          <w:smallCaps/>
          <w:color w:val="785E93"/>
          <w:spacing w:val="-2"/>
          <w:w w:val="105"/>
        </w:rPr>
        <w:t>Experience</w:t>
      </w:r>
    </w:p>
    <w:p>
      <w:pPr>
        <w:pStyle w:val="BodyText"/>
        <w:spacing w:before="39"/>
        <w:rPr>
          <w:b/>
          <w:sz w:val="16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Senior</w:t>
      </w:r>
      <w:r>
        <w:rPr>
          <w:b/>
          <w:spacing w:val="11"/>
          <w:sz w:val="18"/>
        </w:rPr>
        <w:t> </w:t>
      </w:r>
      <w:r>
        <w:rPr>
          <w:b/>
          <w:sz w:val="18"/>
        </w:rPr>
        <w:t>Counsel,</w:t>
      </w:r>
      <w:r>
        <w:rPr>
          <w:b/>
          <w:spacing w:val="11"/>
          <w:sz w:val="18"/>
        </w:rPr>
        <w:t> </w:t>
      </w:r>
      <w:r>
        <w:rPr>
          <w:b/>
          <w:sz w:val="18"/>
        </w:rPr>
        <w:t>Corporate</w:t>
      </w:r>
      <w:r>
        <w:rPr>
          <w:b/>
          <w:spacing w:val="11"/>
          <w:sz w:val="18"/>
        </w:rPr>
        <w:t> </w:t>
      </w:r>
      <w:r>
        <w:rPr>
          <w:b/>
          <w:sz w:val="18"/>
        </w:rPr>
        <w:t>Transactions</w:t>
      </w:r>
      <w:r>
        <w:rPr>
          <w:b/>
          <w:spacing w:val="11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2"/>
          <w:sz w:val="18"/>
        </w:rPr>
        <w:t> </w:t>
      </w:r>
      <w:r>
        <w:rPr>
          <w:b/>
          <w:sz w:val="18"/>
        </w:rPr>
        <w:t>April</w:t>
      </w:r>
      <w:r>
        <w:rPr>
          <w:b/>
          <w:spacing w:val="11"/>
          <w:sz w:val="18"/>
        </w:rPr>
        <w:t> </w:t>
      </w:r>
      <w:r>
        <w:rPr>
          <w:b/>
          <w:sz w:val="18"/>
        </w:rPr>
        <w:t>2018</w:t>
      </w:r>
      <w:r>
        <w:rPr>
          <w:b/>
          <w:spacing w:val="11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11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33"/>
        <w:ind w:left="362"/>
      </w:pPr>
      <w:r>
        <w:rPr>
          <w:spacing w:val="-2"/>
          <w:w w:val="105"/>
        </w:rPr>
        <w:t>GlobalCorp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Inc.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21"/>
      </w:pPr>
    </w:p>
    <w:p>
      <w:pPr>
        <w:pStyle w:val="BodyText"/>
        <w:spacing w:line="268" w:lineRule="auto"/>
        <w:ind w:left="1050" w:right="670"/>
      </w:pPr>
      <w:r>
        <w:rPr>
          <w:spacing w:val="-2"/>
          <w:w w:val="105"/>
        </w:rPr>
        <w:t>Negotiated and closed 25 M&amp;A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transactions totaling $2.5B, delivering </w:t>
      </w:r>
      <w:r>
        <w:rPr>
          <w:w w:val="105"/>
        </w:rPr>
        <w:t>an average 15% EBITDA</w:t>
      </w:r>
      <w:r>
        <w:rPr>
          <w:spacing w:val="-9"/>
          <w:w w:val="105"/>
        </w:rPr>
        <w:t> </w:t>
      </w:r>
      <w:r>
        <w:rPr>
          <w:w w:val="105"/>
        </w:rPr>
        <w:t>growth improvement for acquired entities within 12 months of deal close</w:t>
      </w:r>
    </w:p>
    <w:p>
      <w:pPr>
        <w:pStyle w:val="BodyText"/>
        <w:spacing w:line="268" w:lineRule="auto" w:before="100"/>
        <w:ind w:left="1050" w:right="670"/>
      </w:pPr>
      <w:r>
        <w:rPr>
          <w:w w:val="105"/>
        </w:rPr>
        <w:t>Drafted and implemented corporate governance policies for 10 </w:t>
      </w:r>
      <w:r>
        <w:rPr>
          <w:spacing w:val="-2"/>
          <w:w w:val="105"/>
        </w:rPr>
        <w:t>subsidiaries across 6 jurisdictions, reducing regulatory non-compliance </w:t>
      </w:r>
      <w:r>
        <w:rPr>
          <w:w w:val="105"/>
        </w:rPr>
        <w:t>incidents by 30% over 2 years</w:t>
      </w:r>
    </w:p>
    <w:p>
      <w:pPr>
        <w:pStyle w:val="BodyText"/>
        <w:spacing w:line="268" w:lineRule="auto" w:before="100"/>
        <w:ind w:left="1050" w:right="670"/>
      </w:pPr>
      <w:r>
        <w:rPr>
          <w:w w:val="105"/>
        </w:rPr>
        <w:t>Led</w:t>
      </w:r>
      <w:r>
        <w:rPr>
          <w:spacing w:val="-13"/>
          <w:w w:val="105"/>
        </w:rPr>
        <w:t> </w:t>
      </w:r>
      <w:r>
        <w:rPr>
          <w:w w:val="105"/>
        </w:rPr>
        <w:t>due</w:t>
      </w:r>
      <w:r>
        <w:rPr>
          <w:spacing w:val="-13"/>
          <w:w w:val="105"/>
        </w:rPr>
        <w:t> </w:t>
      </w:r>
      <w:r>
        <w:rPr>
          <w:w w:val="105"/>
        </w:rPr>
        <w:t>diligence</w:t>
      </w:r>
      <w:r>
        <w:rPr>
          <w:spacing w:val="-13"/>
          <w:w w:val="105"/>
        </w:rPr>
        <w:t> </w:t>
      </w:r>
      <w:r>
        <w:rPr>
          <w:w w:val="105"/>
        </w:rPr>
        <w:t>teams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8</w:t>
      </w:r>
      <w:r>
        <w:rPr>
          <w:spacing w:val="-13"/>
          <w:w w:val="105"/>
        </w:rPr>
        <w:t> </w:t>
      </w:r>
      <w:r>
        <w:rPr>
          <w:w w:val="105"/>
        </w:rPr>
        <w:t>attorneys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analysts</w:t>
      </w:r>
      <w:r>
        <w:rPr>
          <w:spacing w:val="-13"/>
          <w:w w:val="105"/>
        </w:rPr>
        <w:t> </w:t>
      </w:r>
      <w:r>
        <w:rPr>
          <w:w w:val="105"/>
        </w:rPr>
        <w:t>on</w:t>
      </w:r>
      <w:r>
        <w:rPr>
          <w:spacing w:val="-13"/>
          <w:w w:val="105"/>
        </w:rPr>
        <w:t> </w:t>
      </w:r>
      <w:r>
        <w:rPr>
          <w:w w:val="105"/>
        </w:rPr>
        <w:t>complex acquisitions, completing all processes 20% faster than industry benchmarks through standardized checklist protocols</w:t>
      </w:r>
    </w:p>
    <w:p>
      <w:pPr>
        <w:pStyle w:val="BodyText"/>
        <w:spacing w:line="268" w:lineRule="auto" w:before="99"/>
        <w:ind w:left="1050" w:right="916"/>
      </w:pPr>
      <w:r>
        <w:rPr>
          <w:w w:val="105"/>
        </w:rPr>
        <w:t>Advised the board on 5 hostile takeover defense situations, coordinating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investment</w:t>
      </w:r>
      <w:r>
        <w:rPr>
          <w:spacing w:val="-13"/>
          <w:w w:val="105"/>
        </w:rPr>
        <w:t> </w:t>
      </w:r>
      <w:r>
        <w:rPr>
          <w:w w:val="105"/>
        </w:rPr>
        <w:t>bankers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outside</w:t>
      </w:r>
      <w:r>
        <w:rPr>
          <w:spacing w:val="-13"/>
          <w:w w:val="105"/>
        </w:rPr>
        <w:t> </w:t>
      </w:r>
      <w:r>
        <w:rPr>
          <w:w w:val="105"/>
        </w:rPr>
        <w:t>counsel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4"/>
          <w:w w:val="105"/>
        </w:rPr>
        <w:t> </w:t>
      </w:r>
      <w:r>
        <w:rPr>
          <w:w w:val="105"/>
        </w:rPr>
        <w:t>protect shareholder value in all matters</w:t>
      </w:r>
    </w:p>
    <w:p>
      <w:pPr>
        <w:pStyle w:val="BodyText"/>
        <w:spacing w:line="268" w:lineRule="auto" w:before="100"/>
        <w:ind w:left="1050" w:right="266"/>
      </w:pPr>
      <w:r>
        <w:rPr>
          <w:w w:val="105"/>
        </w:rPr>
        <w:t>Managed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portfolio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15</w:t>
      </w:r>
      <w:r>
        <w:rPr>
          <w:spacing w:val="-2"/>
          <w:w w:val="105"/>
        </w:rPr>
        <w:t> </w:t>
      </w:r>
      <w:r>
        <w:rPr>
          <w:w w:val="105"/>
        </w:rPr>
        <w:t>ongoing</w:t>
      </w:r>
      <w:r>
        <w:rPr>
          <w:spacing w:val="-2"/>
          <w:w w:val="105"/>
        </w:rPr>
        <w:t> </w:t>
      </w:r>
      <w:r>
        <w:rPr>
          <w:w w:val="105"/>
        </w:rPr>
        <w:t>commercial</w:t>
      </w:r>
      <w:r>
        <w:rPr>
          <w:spacing w:val="-2"/>
          <w:w w:val="105"/>
        </w:rPr>
        <w:t> </w:t>
      </w:r>
      <w:r>
        <w:rPr>
          <w:w w:val="105"/>
        </w:rPr>
        <w:t>contracts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strategic </w:t>
      </w:r>
      <w:r>
        <w:rPr>
          <w:spacing w:val="-2"/>
          <w:w w:val="105"/>
        </w:rPr>
        <w:t>partners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valued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$800M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annually,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ensuring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favorable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renewal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terms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 </w:t>
      </w:r>
      <w:r>
        <w:rPr>
          <w:w w:val="105"/>
        </w:rPr>
        <w:t>100% of contract cycles</w:t>
      </w:r>
    </w:p>
    <w:p>
      <w:pPr>
        <w:pStyle w:val="BodyText"/>
        <w:spacing w:line="268" w:lineRule="auto" w:before="99"/>
        <w:ind w:left="1050" w:right="670"/>
      </w:pPr>
      <w:r>
        <w:rPr>
          <w:spacing w:val="-2"/>
          <w:w w:val="105"/>
        </w:rPr>
        <w:t>Mentored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4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associate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attorneys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M&amp;A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transaction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management, </w:t>
      </w:r>
      <w:r>
        <w:rPr>
          <w:w w:val="105"/>
        </w:rPr>
        <w:t>developing a deal-room procedures guide adopted across the corporate legal department</w:t>
      </w:r>
    </w:p>
    <w:p>
      <w:pPr>
        <w:spacing w:before="205"/>
        <w:ind w:left="362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Associate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Attorney,</w:t>
      </w:r>
      <w:r>
        <w:rPr>
          <w:b/>
          <w:spacing w:val="-8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Corporate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Law</w:t>
      </w:r>
      <w:r>
        <w:rPr>
          <w:b/>
          <w:spacing w:val="-7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July</w:t>
      </w:r>
      <w:r>
        <w:rPr>
          <w:b/>
          <w:spacing w:val="-7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2015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7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March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2018</w:t>
      </w:r>
    </w:p>
    <w:p>
      <w:pPr>
        <w:pStyle w:val="BodyText"/>
        <w:spacing w:before="33"/>
        <w:ind w:right="4988"/>
        <w:jc w:val="right"/>
      </w:pPr>
      <w:r>
        <w:rPr>
          <w:spacing w:val="-2"/>
          <w:w w:val="105"/>
        </w:rPr>
        <w:t>BigLaw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Firm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LLP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21"/>
      </w:pPr>
    </w:p>
    <w:p>
      <w:pPr>
        <w:pStyle w:val="BodyText"/>
        <w:spacing w:line="268" w:lineRule="auto"/>
        <w:ind w:left="1050" w:right="642"/>
        <w:jc w:val="both"/>
      </w:pPr>
      <w:r>
        <w:rPr>
          <w:w w:val="105"/>
        </w:rPr>
        <w:t>Prepared</w:t>
      </w:r>
      <w:r>
        <w:rPr>
          <w:spacing w:val="-14"/>
          <w:w w:val="105"/>
        </w:rPr>
        <w:t> </w:t>
      </w:r>
      <w:r>
        <w:rPr>
          <w:w w:val="105"/>
        </w:rPr>
        <w:t>complex</w:t>
      </w:r>
      <w:r>
        <w:rPr>
          <w:spacing w:val="-13"/>
          <w:w w:val="105"/>
        </w:rPr>
        <w:t> </w:t>
      </w:r>
      <w:r>
        <w:rPr>
          <w:w w:val="105"/>
        </w:rPr>
        <w:t>asset-purchase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share-purchase</w:t>
      </w:r>
      <w:r>
        <w:rPr>
          <w:spacing w:val="-13"/>
          <w:w w:val="105"/>
        </w:rPr>
        <w:t> </w:t>
      </w:r>
      <w:r>
        <w:rPr>
          <w:w w:val="105"/>
        </w:rPr>
        <w:t>agreements</w:t>
      </w:r>
      <w:r>
        <w:rPr>
          <w:spacing w:val="-13"/>
          <w:w w:val="105"/>
        </w:rPr>
        <w:t> </w:t>
      </w:r>
      <w:r>
        <w:rPr>
          <w:w w:val="105"/>
        </w:rPr>
        <w:t>for private</w:t>
      </w:r>
      <w:r>
        <w:rPr>
          <w:spacing w:val="-14"/>
          <w:w w:val="105"/>
        </w:rPr>
        <w:t> </w:t>
      </w:r>
      <w:r>
        <w:rPr>
          <w:w w:val="105"/>
        </w:rPr>
        <w:t>equity</w:t>
      </w:r>
      <w:r>
        <w:rPr>
          <w:spacing w:val="-13"/>
          <w:w w:val="105"/>
        </w:rPr>
        <w:t> </w:t>
      </w:r>
      <w:r>
        <w:rPr>
          <w:w w:val="105"/>
        </w:rPr>
        <w:t>clients,</w:t>
      </w:r>
      <w:r>
        <w:rPr>
          <w:spacing w:val="-13"/>
          <w:w w:val="105"/>
        </w:rPr>
        <w:t> </w:t>
      </w:r>
      <w:r>
        <w:rPr>
          <w:w w:val="105"/>
        </w:rPr>
        <w:t>maintaining</w:t>
      </w:r>
      <w:r>
        <w:rPr>
          <w:spacing w:val="-13"/>
          <w:w w:val="105"/>
        </w:rPr>
        <w:t> </w:t>
      </w:r>
      <w:r>
        <w:rPr>
          <w:w w:val="105"/>
        </w:rPr>
        <w:t>98%</w:t>
      </w:r>
      <w:r>
        <w:rPr>
          <w:spacing w:val="-13"/>
          <w:w w:val="105"/>
        </w:rPr>
        <w:t> </w:t>
      </w:r>
      <w:r>
        <w:rPr>
          <w:w w:val="105"/>
        </w:rPr>
        <w:t>ﬁrst-draft</w:t>
      </w:r>
      <w:r>
        <w:rPr>
          <w:spacing w:val="-13"/>
          <w:w w:val="105"/>
        </w:rPr>
        <w:t> </w:t>
      </w:r>
      <w:r>
        <w:rPr>
          <w:w w:val="105"/>
        </w:rPr>
        <w:t>accuracy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reducing senior partner revision time by 35%</w:t>
      </w:r>
    </w:p>
    <w:p>
      <w:pPr>
        <w:pStyle w:val="BodyText"/>
        <w:spacing w:line="268" w:lineRule="auto" w:before="99"/>
        <w:ind w:left="1050" w:right="1089"/>
      </w:pPr>
      <w:r>
        <w:rPr>
          <w:w w:val="105"/>
        </w:rPr>
        <w:t>Advised on joint-venture structures and partnership agreements, helping</w:t>
      </w:r>
      <w:r>
        <w:rPr>
          <w:spacing w:val="-14"/>
          <w:w w:val="105"/>
        </w:rPr>
        <w:t> </w:t>
      </w:r>
      <w:r>
        <w:rPr>
          <w:w w:val="105"/>
        </w:rPr>
        <w:t>form</w:t>
      </w:r>
      <w:r>
        <w:rPr>
          <w:spacing w:val="-13"/>
          <w:w w:val="105"/>
        </w:rPr>
        <w:t> </w:t>
      </w:r>
      <w:r>
        <w:rPr>
          <w:w w:val="105"/>
        </w:rPr>
        <w:t>5</w:t>
      </w:r>
      <w:r>
        <w:rPr>
          <w:spacing w:val="-13"/>
          <w:w w:val="105"/>
        </w:rPr>
        <w:t> </w:t>
      </w:r>
      <w:r>
        <w:rPr>
          <w:w w:val="105"/>
        </w:rPr>
        <w:t>strategic</w:t>
      </w:r>
      <w:r>
        <w:rPr>
          <w:spacing w:val="-13"/>
          <w:w w:val="105"/>
        </w:rPr>
        <w:t> </w:t>
      </w:r>
      <w:r>
        <w:rPr>
          <w:w w:val="105"/>
        </w:rPr>
        <w:t>alliances</w:t>
      </w:r>
      <w:r>
        <w:rPr>
          <w:spacing w:val="-13"/>
          <w:w w:val="105"/>
        </w:rPr>
        <w:t> </w:t>
      </w:r>
      <w:r>
        <w:rPr>
          <w:w w:val="105"/>
        </w:rPr>
        <w:t>generating</w:t>
      </w:r>
      <w:r>
        <w:rPr>
          <w:spacing w:val="-13"/>
          <w:w w:val="105"/>
        </w:rPr>
        <w:t> </w:t>
      </w:r>
      <w:r>
        <w:rPr>
          <w:w w:val="105"/>
        </w:rPr>
        <w:t>$100M+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4"/>
          <w:w w:val="105"/>
        </w:rPr>
        <w:t> </w:t>
      </w:r>
      <w:r>
        <w:rPr>
          <w:w w:val="105"/>
        </w:rPr>
        <w:t>combined annual revenue for clients</w:t>
      </w:r>
    </w:p>
    <w:p>
      <w:pPr>
        <w:pStyle w:val="BodyText"/>
        <w:spacing w:line="268" w:lineRule="auto" w:before="100"/>
        <w:ind w:left="1050" w:right="716"/>
      </w:pPr>
      <w:r>
        <w:rPr>
          <w:w w:val="105"/>
        </w:rPr>
        <w:t>Conducted</w:t>
      </w:r>
      <w:r>
        <w:rPr>
          <w:spacing w:val="-14"/>
          <w:w w:val="105"/>
        </w:rPr>
        <w:t> </w:t>
      </w:r>
      <w:r>
        <w:rPr>
          <w:w w:val="105"/>
        </w:rPr>
        <w:t>regulatory</w:t>
      </w:r>
      <w:r>
        <w:rPr>
          <w:spacing w:val="-13"/>
          <w:w w:val="105"/>
        </w:rPr>
        <w:t> </w:t>
      </w:r>
      <w:r>
        <w:rPr>
          <w:w w:val="105"/>
        </w:rPr>
        <w:t>due</w:t>
      </w:r>
      <w:r>
        <w:rPr>
          <w:spacing w:val="-13"/>
          <w:w w:val="105"/>
        </w:rPr>
        <w:t> </w:t>
      </w:r>
      <w:r>
        <w:rPr>
          <w:w w:val="105"/>
        </w:rPr>
        <w:t>diligence</w:t>
      </w:r>
      <w:r>
        <w:rPr>
          <w:spacing w:val="-13"/>
          <w:w w:val="105"/>
        </w:rPr>
        <w:t> </w:t>
      </w:r>
      <w:r>
        <w:rPr>
          <w:w w:val="105"/>
        </w:rPr>
        <w:t>reviews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20</w:t>
      </w:r>
      <w:r>
        <w:rPr>
          <w:spacing w:val="-13"/>
          <w:w w:val="105"/>
        </w:rPr>
        <w:t> </w:t>
      </w:r>
      <w:r>
        <w:rPr>
          <w:w w:val="105"/>
        </w:rPr>
        <w:t>transactions</w:t>
      </w:r>
      <w:r>
        <w:rPr>
          <w:spacing w:val="-14"/>
          <w:w w:val="105"/>
        </w:rPr>
        <w:t> </w:t>
      </w:r>
      <w:r>
        <w:rPr>
          <w:w w:val="105"/>
        </w:rPr>
        <w:t>across healthcare, technology, and ﬁnancial services sectors, identifying material compliance risks in 8 matters</w:t>
      </w:r>
    </w:p>
    <w:p>
      <w:pPr>
        <w:pStyle w:val="BodyText"/>
        <w:spacing w:line="268" w:lineRule="auto" w:before="99"/>
        <w:ind w:left="1050" w:right="266"/>
      </w:pPr>
      <w:r>
        <w:rPr>
          <w:w w:val="105"/>
        </w:rPr>
        <w:t>Drafted and negotiated 50+ commercial contracts and licensing </w:t>
      </w:r>
      <w:r>
        <w:rPr>
          <w:spacing w:val="-2"/>
          <w:w w:val="105"/>
        </w:rPr>
        <w:t>agreements for corporate clients, ensuring alignment with company risk </w:t>
      </w:r>
      <w:r>
        <w:rPr>
          <w:w w:val="105"/>
        </w:rPr>
        <w:t>tolerance and compliance requirements</w:t>
      </w:r>
    </w:p>
    <w:sectPr>
      <w:type w:val="continuous"/>
      <w:pgSz w:w="11920" w:h="16860"/>
      <w:pgMar w:top="1000" w:bottom="280" w:left="141" w:right="141"/>
      <w:cols w:num="2" w:equalWidth="0">
        <w:col w:w="3581" w:space="493"/>
        <w:col w:w="75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2026-03-19T15:19:13Z</dcterms:created>
  <dcterms:modified xsi:type="dcterms:W3CDTF">2026-03-19T15:19:13Z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2026-03-19T00:00:00Z</vt:filetime>
  </property>
  <property fmtid="{D5CDD505-2E9C-101B-9397-08002B2CF9AE}" pid="5" name="Producer">
    <vt:lpwstr>Skia/PDF m121</vt:lpwstr>
  </property>
</Properties>
</file>