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520" w:right="0" w:firstLine="0"/>
        <w:jc w:val="left"/>
        <w:rPr>
          <w:sz w:val="74"/>
        </w:rPr>
      </w:pPr>
      <w:r>
        <w:rPr>
          <w:b/>
          <w:color w:val="FFFFFF"/>
          <w:sz w:val="74"/>
        </w:rPr>
        <w:t>Lydia</w:t>
      </w:r>
      <w:r>
        <w:rPr>
          <w:b/>
          <w:color w:val="FFFFFF"/>
          <w:spacing w:val="59"/>
          <w:sz w:val="74"/>
        </w:rPr>
        <w:t> </w:t>
      </w:r>
      <w:r>
        <w:rPr>
          <w:color w:val="FFFFFF"/>
          <w:spacing w:val="10"/>
          <w:sz w:val="74"/>
        </w:rPr>
        <w:t>Johnson</w:t>
      </w:r>
    </w:p>
    <w:p>
      <w:pPr>
        <w:pStyle w:val="Heading1"/>
      </w:pPr>
      <w:r>
        <w:rPr>
          <w:color w:val="FFFFFF"/>
        </w:rPr>
        <w:t>Accountant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93"/>
        <w:ind w:left="520" w:right="281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accountant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10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budgeting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support,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statement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preparation,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audit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coordination. Proficient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GAAP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compliance,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payroll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processing,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ledger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reconciliation.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Demonstrated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ability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identify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cost-saving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opportunities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 resolve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discrepancies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efficiently.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collaborating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senior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accountants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auditors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ensure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accurate,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timely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reporting across complex financial environments.</w:t>
      </w:r>
    </w:p>
    <w:p>
      <w:pPr>
        <w:pStyle w:val="BodyText"/>
        <w:ind w:left="0" w:firstLine="0"/>
        <w:rPr>
          <w:sz w:val="18"/>
        </w:rPr>
      </w:pPr>
    </w:p>
    <w:p>
      <w:pPr>
        <w:pStyle w:val="BodyText"/>
        <w:ind w:left="0" w:firstLine="0"/>
        <w:rPr>
          <w:sz w:val="18"/>
        </w:rPr>
      </w:pPr>
    </w:p>
    <w:p>
      <w:pPr>
        <w:pStyle w:val="BodyText"/>
        <w:ind w:left="0" w:firstLine="0"/>
        <w:rPr>
          <w:sz w:val="18"/>
        </w:rPr>
      </w:pPr>
    </w:p>
    <w:p>
      <w:pPr>
        <w:pStyle w:val="BodyText"/>
        <w:ind w:left="0" w:firstLine="0"/>
        <w:rPr>
          <w:sz w:val="18"/>
        </w:rPr>
      </w:pPr>
    </w:p>
    <w:p>
      <w:pPr>
        <w:pStyle w:val="BodyText"/>
        <w:spacing w:before="147"/>
        <w:ind w:left="0" w:firstLine="0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2647949</wp:posOffset>
                </wp:positionH>
                <wp:positionV relativeFrom="paragraph">
                  <wp:posOffset>31320</wp:posOffset>
                </wp:positionV>
                <wp:extent cx="4920615" cy="2952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466216pt;width:387.45pt;height:23.25pt;mso-position-horizontal-relative:page;mso-position-vertical-relative:paragraph;z-index:15730688" type="#_x0000_t202" id="docshape1" filled="true" fillcolor="#e69037" stroked="false">
                <v:textbox inset="0,0,0,0">
                  <w:txbxContent>
                    <w:p>
                      <w:pPr>
                        <w:spacing w:before="75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Atlanta,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LinkedIn</w:t>
      </w:r>
    </w:p>
    <w:p>
      <w:pPr>
        <w:pStyle w:val="BodyText"/>
        <w:spacing w:before="134"/>
        <w:ind w:left="0" w:firstLine="0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</w:sectPr>
      </w:pPr>
    </w:p>
    <w:p>
      <w:pPr>
        <w:spacing w:before="74"/>
        <w:ind w:left="948" w:right="0" w:firstLine="0"/>
        <w:jc w:val="left"/>
        <w:rPr>
          <w:sz w:val="18"/>
        </w:rPr>
      </w:pPr>
      <w:r>
        <w:rPr>
          <w:sz w:val="18"/>
        </w:rPr>
        <w:t>(123)</w:t>
      </w:r>
      <w:r>
        <w:rPr>
          <w:spacing w:val="16"/>
          <w:sz w:val="18"/>
        </w:rPr>
        <w:t> </w:t>
      </w:r>
      <w:r>
        <w:rPr>
          <w:sz w:val="18"/>
        </w:rPr>
        <w:t>456-</w:t>
      </w:r>
      <w:r>
        <w:rPr>
          <w:spacing w:val="-4"/>
          <w:sz w:val="18"/>
        </w:rPr>
        <w:t>7890</w:t>
      </w:r>
    </w:p>
    <w:p>
      <w:pPr>
        <w:pStyle w:val="BodyText"/>
        <w:spacing w:before="186"/>
        <w:ind w:left="0" w:firstLine="0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92"/>
        <w:ind w:left="0" w:firstLine="0"/>
      </w:pPr>
    </w:p>
    <w:p>
      <w:pPr>
        <w:spacing w:line="240" w:lineRule="auto"/>
        <w:ind w:left="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52675" cy="2952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5.25pt;height:23.25pt;mso-position-horizontal-relative:char;mso-position-vertical-relative:line" type="#_x0000_t202" id="docshape2" filled="true" fillcolor="#e69037" stroked="false">
                <w10:anchorlock/>
                <v:textbox inset="0,0,0,0">
                  <w:txbxContent>
                    <w:p>
                      <w:pPr>
                        <w:spacing w:before="75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125" w:after="0"/>
        <w:ind w:left="818" w:right="751" w:hanging="298"/>
        <w:jc w:val="left"/>
        <w:rPr>
          <w:sz w:val="20"/>
        </w:rPr>
      </w:pPr>
      <w:r>
        <w:rPr>
          <w:w w:val="105"/>
          <w:sz w:val="20"/>
        </w:rPr>
        <w:t>Budgeting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support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 expense tracking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2" w:after="0"/>
        <w:ind w:left="818" w:right="0" w:hanging="298"/>
        <w:jc w:val="left"/>
        <w:rPr>
          <w:sz w:val="20"/>
        </w:rPr>
      </w:pPr>
      <w:r>
        <w:rPr>
          <w:sz w:val="20"/>
        </w:rPr>
        <w:t>Financial statement preparation </w:t>
      </w:r>
      <w:r>
        <w:rPr>
          <w:spacing w:val="-2"/>
          <w:sz w:val="20"/>
        </w:rPr>
        <w:t>(GAAP)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87" w:after="0"/>
        <w:ind w:left="818" w:right="77" w:hanging="298"/>
        <w:jc w:val="left"/>
        <w:rPr>
          <w:sz w:val="20"/>
        </w:rPr>
      </w:pPr>
      <w:r>
        <w:rPr>
          <w:spacing w:val="-2"/>
          <w:w w:val="105"/>
          <w:sz w:val="20"/>
        </w:rPr>
        <w:t>Tax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document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preparation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and compliance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3" w:after="0"/>
        <w:ind w:left="818" w:right="274" w:hanging="298"/>
        <w:jc w:val="left"/>
        <w:rPr>
          <w:sz w:val="20"/>
        </w:rPr>
      </w:pPr>
      <w:r>
        <w:rPr>
          <w:w w:val="105"/>
          <w:sz w:val="20"/>
        </w:rPr>
        <w:t>Payroll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processing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audit </w:t>
      </w:r>
      <w:r>
        <w:rPr>
          <w:spacing w:val="-2"/>
          <w:w w:val="105"/>
          <w:sz w:val="20"/>
        </w:rPr>
        <w:t>support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46" w:after="0"/>
        <w:ind w:left="816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General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ledger reconciliation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29" w:after="0"/>
        <w:ind w:left="818" w:right="668" w:hanging="298"/>
        <w:jc w:val="left"/>
        <w:rPr>
          <w:sz w:val="20"/>
        </w:rPr>
      </w:pPr>
      <w:r>
        <w:rPr>
          <w:w w:val="105"/>
          <w:sz w:val="20"/>
        </w:rPr>
        <w:t>Accounts payable and </w:t>
      </w:r>
      <w:r>
        <w:rPr>
          <w:spacing w:val="-2"/>
          <w:w w:val="105"/>
          <w:sz w:val="20"/>
        </w:rPr>
        <w:t>receivable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3" w:after="0"/>
        <w:ind w:left="818" w:right="414" w:hanging="298"/>
        <w:jc w:val="left"/>
        <w:rPr>
          <w:sz w:val="20"/>
        </w:rPr>
      </w:pPr>
      <w:r>
        <w:rPr>
          <w:spacing w:val="-2"/>
          <w:w w:val="105"/>
          <w:sz w:val="20"/>
        </w:rPr>
        <w:t>Cost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variance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analysis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and reporting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47" w:after="0"/>
        <w:ind w:left="818" w:right="475" w:hanging="298"/>
        <w:jc w:val="left"/>
        <w:rPr>
          <w:sz w:val="20"/>
        </w:rPr>
      </w:pPr>
      <w:r>
        <w:rPr>
          <w:spacing w:val="-2"/>
          <w:w w:val="105"/>
          <w:sz w:val="20"/>
        </w:rPr>
        <w:t>QuickBooks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Microsoft Excel</w:t>
      </w:r>
    </w:p>
    <w:p>
      <w:pPr>
        <w:spacing w:line="264" w:lineRule="auto" w:before="87"/>
        <w:ind w:left="426" w:right="298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ACCOUNTANT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40"/>
          <w:sz w:val="20"/>
        </w:rPr>
        <w:t> </w:t>
      </w:r>
      <w:r>
        <w:rPr>
          <w:position w:val="3"/>
          <w:sz w:val="20"/>
        </w:rPr>
        <w:t>| </w:t>
      </w:r>
      <w:r>
        <w:rPr>
          <w:b/>
          <w:sz w:val="20"/>
        </w:rPr>
        <w:t>RIVERSTONE FINANCIAL GROUP 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ATLANTA, </w:t>
      </w:r>
      <w:r>
        <w:rPr>
          <w:b/>
          <w:spacing w:val="-6"/>
          <w:sz w:val="20"/>
        </w:rPr>
        <w:t>GA</w:t>
      </w:r>
    </w:p>
    <w:p>
      <w:pPr>
        <w:pStyle w:val="BodyText"/>
        <w:spacing w:before="3"/>
        <w:ind w:left="426" w:firstLine="0"/>
      </w:pPr>
      <w:r>
        <w:rPr/>
        <w:t>MARCH</w:t>
      </w:r>
      <w:r>
        <w:rPr>
          <w:spacing w:val="-3"/>
        </w:rPr>
        <w:t> </w:t>
      </w:r>
      <w:r>
        <w:rPr/>
        <w:t>2018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PRESENT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37" w:lineRule="auto" w:before="224" w:after="0"/>
        <w:ind w:left="909" w:right="1088" w:hanging="298"/>
        <w:jc w:val="both"/>
        <w:rPr>
          <w:position w:val="-2"/>
          <w:sz w:val="31"/>
        </w:rPr>
      </w:pPr>
      <w:r>
        <w:rPr>
          <w:w w:val="105"/>
          <w:sz w:val="20"/>
        </w:rPr>
        <w:t>Supported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monthly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budgeting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processes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$15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million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operating budget,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implementing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meticulous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tracking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procedures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reduced departmental overspending by 15%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37" w:lineRule="auto" w:before="47" w:after="0"/>
        <w:ind w:left="909" w:right="702" w:hanging="298"/>
        <w:jc w:val="left"/>
        <w:rPr>
          <w:position w:val="-2"/>
          <w:sz w:val="31"/>
        </w:rPr>
      </w:pPr>
      <w:r>
        <w:rPr>
          <w:spacing w:val="-2"/>
          <w:w w:val="105"/>
          <w:sz w:val="20"/>
        </w:rPr>
        <w:t>Assisted in preparing GAAP-compliant ﬁnancial statements for quarterly </w:t>
      </w:r>
      <w:r>
        <w:rPr>
          <w:w w:val="105"/>
          <w:sz w:val="20"/>
        </w:rPr>
        <w:t>board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presentations,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covering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income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statements,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balance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sheets,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and cash ﬂow analyses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16" w:lineRule="auto" w:before="85" w:after="0"/>
        <w:ind w:left="909" w:right="891" w:hanging="298"/>
        <w:jc w:val="left"/>
        <w:rPr>
          <w:position w:val="-2"/>
          <w:sz w:val="31"/>
        </w:rPr>
      </w:pPr>
      <w:r>
        <w:rPr>
          <w:w w:val="105"/>
          <w:sz w:val="20"/>
        </w:rPr>
        <w:t>Coordinated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external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auditors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during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annual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reviews,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preparing documentation and resolving discrepancies within agreed timelines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16" w:lineRule="auto" w:before="72" w:after="0"/>
        <w:ind w:left="909" w:right="679" w:hanging="298"/>
        <w:jc w:val="left"/>
        <w:rPr>
          <w:position w:val="-2"/>
          <w:sz w:val="31"/>
        </w:rPr>
      </w:pPr>
      <w:r>
        <w:rPr>
          <w:w w:val="105"/>
          <w:sz w:val="20"/>
        </w:rPr>
        <w:t>Maintained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compliance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records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regulatory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agencies,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ensuring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zero late submissions over 6-year tenure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28" w:lineRule="auto" w:before="61" w:after="0"/>
        <w:ind w:left="909" w:right="736" w:hanging="298"/>
        <w:jc w:val="left"/>
        <w:rPr>
          <w:sz w:val="31"/>
        </w:rPr>
      </w:pPr>
      <w:r>
        <w:rPr>
          <w:w w:val="105"/>
          <w:position w:val="1"/>
          <w:sz w:val="20"/>
        </w:rPr>
        <w:t>Reconciled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20+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cost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center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accounts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monthly,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identifying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resolving </w:t>
      </w:r>
      <w:r>
        <w:rPr>
          <w:w w:val="105"/>
          <w:sz w:val="20"/>
        </w:rPr>
        <w:t>posting errors within 24-hour turnarounds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16" w:lineRule="auto" w:before="69" w:after="0"/>
        <w:ind w:left="909" w:right="535" w:hanging="298"/>
        <w:jc w:val="left"/>
        <w:rPr>
          <w:position w:val="-2"/>
          <w:sz w:val="31"/>
        </w:rPr>
      </w:pPr>
      <w:r>
        <w:rPr>
          <w:w w:val="105"/>
          <w:sz w:val="20"/>
        </w:rPr>
        <w:t>Collaborated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tax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team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prepare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supporting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schedules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corporate ﬁlings, contributing to $30K in identiﬁed deductions over 2 years</w:t>
      </w:r>
    </w:p>
    <w:p>
      <w:pPr>
        <w:pStyle w:val="BodyText"/>
        <w:spacing w:before="161"/>
        <w:ind w:left="0" w:firstLine="0"/>
      </w:pPr>
    </w:p>
    <w:p>
      <w:pPr>
        <w:spacing w:before="0"/>
        <w:ind w:left="426" w:right="0" w:firstLine="0"/>
        <w:jc w:val="left"/>
        <w:rPr>
          <w:b/>
          <w:sz w:val="20"/>
        </w:rPr>
      </w:pPr>
      <w:r>
        <w:rPr>
          <w:b/>
          <w:sz w:val="20"/>
        </w:rPr>
        <w:t>JUNIOR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ACCOUNTING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CLERK</w:t>
      </w:r>
      <w:r>
        <w:rPr>
          <w:b/>
          <w:spacing w:val="66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4"/>
          <w:position w:val="3"/>
          <w:sz w:val="20"/>
        </w:rPr>
        <w:t> </w:t>
      </w:r>
      <w:r>
        <w:rPr>
          <w:b/>
          <w:sz w:val="20"/>
        </w:rPr>
        <w:t>ALLIED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ACCOUNTS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INC.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ATLANTA,</w:t>
      </w:r>
      <w:r>
        <w:rPr>
          <w:b/>
          <w:spacing w:val="6"/>
          <w:sz w:val="20"/>
        </w:rPr>
        <w:t> </w:t>
      </w:r>
      <w:r>
        <w:rPr>
          <w:b/>
          <w:spacing w:val="-5"/>
          <w:sz w:val="20"/>
        </w:rPr>
        <w:t>GA</w:t>
      </w:r>
    </w:p>
    <w:p>
      <w:pPr>
        <w:pStyle w:val="BodyText"/>
        <w:spacing w:before="23"/>
        <w:ind w:left="426" w:firstLine="0"/>
      </w:pPr>
      <w:r>
        <w:rPr>
          <w:spacing w:val="-4"/>
        </w:rPr>
        <w:t>MAY</w:t>
      </w:r>
      <w:r>
        <w:rPr>
          <w:spacing w:val="-8"/>
        </w:rPr>
        <w:t> </w:t>
      </w:r>
      <w:r>
        <w:rPr>
          <w:spacing w:val="-4"/>
        </w:rPr>
        <w:t>2015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  <w:cols w:num="2" w:equalWidth="0">
            <w:col w:w="3700" w:space="40"/>
            <w:col w:w="8180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112" w:after="0"/>
        <w:ind w:left="818" w:right="38" w:hanging="298"/>
        <w:jc w:val="left"/>
        <w:rPr>
          <w:sz w:val="20"/>
        </w:rPr>
      </w:pPr>
      <w:r>
        <w:rPr>
          <w:spacing w:val="-2"/>
          <w:w w:val="105"/>
          <w:sz w:val="20"/>
        </w:rPr>
        <w:t>Cross-functional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collaboration </w:t>
      </w:r>
      <w:r>
        <w:rPr>
          <w:w w:val="105"/>
          <w:sz w:val="20"/>
        </w:rPr>
        <w:t>with audit teams</w:t>
      </w:r>
    </w:p>
    <w:p>
      <w:pPr>
        <w:pStyle w:val="BodyText"/>
        <w:spacing w:before="32"/>
        <w:ind w:left="0" w:firstLine="0"/>
      </w:pPr>
    </w:p>
    <w:p>
      <w:pPr>
        <w:spacing w:line="240" w:lineRule="auto"/>
        <w:ind w:left="0" w:right="-173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52675" cy="29527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5.25pt;height:23.25pt;mso-position-horizontal-relative:char;mso-position-vertical-relative:line" type="#_x0000_t202" id="docshape3" filled="true" fillcolor="#e69037" stroked="false">
                <w10:anchorlock/>
                <v:textbox inset="0,0,0,0">
                  <w:txbxContent>
                    <w:p>
                      <w:pPr>
                        <w:spacing w:before="75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37" w:lineRule="auto" w:before="102" w:after="0"/>
        <w:ind w:left="818" w:right="276" w:hanging="298"/>
        <w:jc w:val="left"/>
        <w:rPr>
          <w:sz w:val="20"/>
        </w:rPr>
      </w:pPr>
      <w:r>
        <w:rPr>
          <w:sz w:val="20"/>
        </w:rPr>
        <w:t>Certiﬁed Bookkeeper (CB), American Institute of Professional Bookkeepers ,</w:t>
      </w:r>
    </w:p>
    <w:p>
      <w:pPr>
        <w:pStyle w:val="BodyText"/>
        <w:spacing w:before="27"/>
        <w:ind w:firstLine="0"/>
      </w:pPr>
      <w:r>
        <w:rPr/>
        <w:t>September</w:t>
      </w:r>
      <w:r>
        <w:rPr>
          <w:spacing w:val="22"/>
        </w:rPr>
        <w:t> </w:t>
      </w:r>
      <w:r>
        <w:rPr>
          <w:spacing w:val="-4"/>
        </w:rPr>
        <w:t>2017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22" w:after="0"/>
        <w:ind w:left="818" w:right="1142" w:hanging="298"/>
        <w:jc w:val="left"/>
        <w:rPr>
          <w:sz w:val="20"/>
        </w:rPr>
      </w:pPr>
      <w:r>
        <w:rPr/>
        <w:br w:type="column"/>
      </w:r>
      <w:r>
        <w:rPr>
          <w:spacing w:val="-2"/>
          <w:w w:val="105"/>
          <w:sz w:val="20"/>
        </w:rPr>
        <w:t>Processed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biweekly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payroll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200+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employees,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maintaining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100% </w:t>
      </w:r>
      <w:r>
        <w:rPr>
          <w:w w:val="105"/>
          <w:sz w:val="20"/>
        </w:rPr>
        <w:t>accuracy across 3-year tenure and zero late payments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87" w:after="0"/>
        <w:ind w:left="818" w:right="349" w:hanging="298"/>
        <w:jc w:val="left"/>
        <w:rPr>
          <w:sz w:val="20"/>
        </w:rPr>
      </w:pPr>
      <w:r>
        <w:rPr>
          <w:w w:val="105"/>
          <w:sz w:val="20"/>
        </w:rPr>
        <w:t>Reconciled company expense reports across 5 departments monthly, identifying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$10,000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recoverable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costs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systematic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variance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review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2" w:after="0"/>
        <w:ind w:left="818" w:right="494" w:hanging="298"/>
        <w:jc w:val="left"/>
        <w:rPr>
          <w:sz w:val="20"/>
        </w:rPr>
      </w:pPr>
      <w:r>
        <w:rPr>
          <w:w w:val="105"/>
          <w:sz w:val="20"/>
        </w:rPr>
        <w:t>Filed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federal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state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tax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documents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50+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accounts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annually,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ensuring 100% compliance with ﬁling deadlines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87" w:after="0"/>
        <w:ind w:left="818" w:right="857" w:hanging="298"/>
        <w:jc w:val="left"/>
        <w:rPr>
          <w:sz w:val="20"/>
        </w:rPr>
      </w:pPr>
      <w:r>
        <w:rPr>
          <w:w w:val="105"/>
          <w:sz w:val="20"/>
        </w:rPr>
        <w:t>Maintained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detailed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journal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entry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records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ﬁscal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years,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supporting clean audit trails during annual external reviews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20" w:bottom="280" w:left="0" w:right="0"/>
          <w:cols w:num="2" w:equalWidth="0">
            <w:col w:w="3581" w:space="250"/>
            <w:col w:w="8089"/>
          </w:cols>
        </w:sectPr>
      </w:pPr>
    </w:p>
    <w:p>
      <w:pPr>
        <w:spacing w:line="240" w:lineRule="auto"/>
        <w:ind w:left="417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0229848"/>
                            <a:ext cx="756856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74980">
                                <a:moveTo>
                                  <a:pt x="0" y="474727"/>
                                </a:moveTo>
                                <a:lnTo>
                                  <a:pt x="7568183" y="474727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4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10229837"/>
                                </a:moveTo>
                                <a:lnTo>
                                  <a:pt x="2444839" y="10229837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1022983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700"/>
                                </a:lnTo>
                                <a:lnTo>
                                  <a:pt x="2444839" y="2552700"/>
                                </a:lnTo>
                                <a:lnTo>
                                  <a:pt x="2454351" y="2552700"/>
                                </a:lnTo>
                                <a:lnTo>
                                  <a:pt x="7568171" y="25527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52699"/>
                            <a:ext cx="245745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677150">
                                <a:moveTo>
                                  <a:pt x="245744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24" y="2552699"/>
                            <a:ext cx="952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77150">
                                <a:moveTo>
                                  <a:pt x="9524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68604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312419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5051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57449" y="2552699"/>
                            <a:ext cx="511111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677150">
                                <a:moveTo>
                                  <a:pt x="511073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81888" id="docshapegroup4" coordorigin="0,0" coordsize="11919,16858">
                <v:rect style="position:absolute;left:0;top:16110;width:11919;height:748" id="docshape5" filled="true" fillcolor="#f7ece2" stroked="false">
                  <v:fill type="solid"/>
                </v:rect>
                <v:shape style="position:absolute;left:0;top:0;width:11919;height:16858" id="docshape6" coordorigin="0,0" coordsize="11919,16858" path="m3865,16110l3850,16110,3850,16858,3865,16858,3865,16110xm11918,0l3865,0,3850,0,0,0,0,4020,3850,4020,3865,4020,11918,4020,11918,0xe" filled="true" fillcolor="#424242" stroked="false">
                  <v:path arrowok="t"/>
                  <v:fill type="solid"/>
                </v:shape>
                <v:rect style="position:absolute;left:0;top:4020;width:3870;height:12090" id="docshape7" filled="true" fillcolor="#f7ece2" stroked="false">
                  <v:fill type="solid"/>
                </v:rect>
                <v:rect style="position:absolute;left:3855;top:4020;width:15;height:12090" id="docshape8" filled="true" fillcolor="#424242" stroked="false">
                  <v:fill type="solid"/>
                </v:rect>
                <v:shape style="position:absolute;left:525;top:4230;width:255;height:360" type="#_x0000_t75" id="docshape9" stroked="false">
                  <v:imagedata r:id="rId6" o:title=""/>
                </v:shape>
                <v:shape style="position:absolute;left:525;top:4920;width:255;height:261" type="#_x0000_t75" id="docshape10" stroked="false">
                  <v:imagedata r:id="rId7" o:title=""/>
                </v:shape>
                <v:shape style="position:absolute;left:525;top:5520;width:255;height:300" type="#_x0000_t75" id="docshape11" stroked="false">
                  <v:imagedata r:id="rId8" o:title=""/>
                </v:shape>
                <v:rect style="position:absolute;left:3870;top:4020;width:8049;height:12090" id="docshape12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4920615" cy="2952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92061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3.25pt;mso-position-horizontal-relative:char;mso-position-vertical-relative:line" type="#_x0000_t202" id="docshape13" filled="true" fillcolor="#e69037" stroked="false">
                <w10:anchorlock/>
                <v:textbox inset="0,0,0,0">
                  <w:txbxContent>
                    <w:p>
                      <w:pPr>
                        <w:spacing w:before="75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343" w:lineRule="exact" w:before="72" w:after="0"/>
        <w:ind w:left="4462" w:right="0" w:hanging="296"/>
        <w:jc w:val="left"/>
        <w:rPr>
          <w:position w:val="-2"/>
          <w:sz w:val="31"/>
        </w:rPr>
      </w:pPr>
      <w:r>
        <w:rPr>
          <w:w w:val="105"/>
          <w:sz w:val="20"/>
        </w:rPr>
        <w:t>Bachelor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Science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Finance</w:t>
      </w:r>
    </w:p>
    <w:p>
      <w:pPr>
        <w:pStyle w:val="BodyText"/>
        <w:spacing w:line="247" w:lineRule="exact"/>
        <w:ind w:left="4463" w:firstLine="0"/>
      </w:pPr>
      <w:r>
        <w:rPr/>
        <w:t>Georgia</w:t>
      </w:r>
      <w:r>
        <w:rPr>
          <w:spacing w:val="2"/>
        </w:rPr>
        <w:t> </w:t>
      </w:r>
      <w:r>
        <w:rPr/>
        <w:t>State</w:t>
      </w:r>
      <w:r>
        <w:rPr>
          <w:spacing w:val="3"/>
        </w:rPr>
        <w:t> </w:t>
      </w:r>
      <w:r>
        <w:rPr/>
        <w:t>University,</w:t>
      </w:r>
      <w:r>
        <w:rPr>
          <w:spacing w:val="3"/>
        </w:rPr>
        <w:t> </w:t>
      </w:r>
      <w:r>
        <w:rPr/>
        <w:t>Atlanta,</w:t>
      </w:r>
      <w:r>
        <w:rPr>
          <w:spacing w:val="3"/>
        </w:rPr>
        <w:t> </w:t>
      </w:r>
      <w:r>
        <w:rPr/>
        <w:t>GA</w:t>
      </w:r>
      <w:r>
        <w:rPr>
          <w:spacing w:val="2"/>
        </w:rPr>
        <w:t> </w:t>
      </w:r>
      <w:r>
        <w:rPr>
          <w:position w:val="3"/>
        </w:rPr>
        <w:t>|</w:t>
      </w:r>
      <w:r>
        <w:rPr>
          <w:spacing w:val="2"/>
          <w:position w:val="3"/>
        </w:rPr>
        <w:t> </w:t>
      </w:r>
      <w:r>
        <w:rPr/>
        <w:t>May</w:t>
      </w:r>
      <w:r>
        <w:rPr>
          <w:spacing w:val="3"/>
        </w:rPr>
        <w:t> </w:t>
      </w:r>
      <w:r>
        <w:rPr>
          <w:spacing w:val="-4"/>
        </w:rPr>
        <w:t>2015</w:t>
      </w:r>
    </w:p>
    <w:sectPr>
      <w:type w:val="continuous"/>
      <w:pgSz w:w="11920" w:h="16860"/>
      <w:pgMar w:top="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18" w:hanging="298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81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2026-03-21T02:06:16Z</dcterms:created>
  <dcterms:modified xsi:type="dcterms:W3CDTF">2026-03-21T02:06:16Z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